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36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</w:rPr>
        <w:t xml:space="preserve"> </w:t>
      </w:r>
      <w:r>
        <w:rPr>
          <w:rFonts w:hint="eastAsia" w:ascii="黑体" w:eastAsia="黑体"/>
          <w:sz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 xml:space="preserve"> </w:t>
      </w:r>
    </w:p>
    <w:p>
      <w:pPr>
        <w:jc w:val="center"/>
        <w:rPr>
          <w:rFonts w:hint="eastAsia" w:ascii="黑体" w:eastAsia="黑体"/>
          <w:sz w:val="36"/>
        </w:rPr>
      </w:pPr>
    </w:p>
    <w:p>
      <w:pPr>
        <w:jc w:val="center"/>
        <w:rPr>
          <w:rFonts w:hint="eastAsia" w:ascii="黑体" w:eastAsia="黑体"/>
          <w:sz w:val="36"/>
        </w:rPr>
      </w:pPr>
    </w:p>
    <w:p>
      <w:pPr>
        <w:spacing w:line="150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0"/>
          <w:w w:val="33"/>
          <w:sz w:val="130"/>
          <w:szCs w:val="130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w w:val="48"/>
          <w:sz w:val="130"/>
          <w:szCs w:val="130"/>
        </w:rPr>
        <w:t>重庆市沙坪坝区医疗保障局</w:t>
      </w:r>
      <w:bookmarkEnd w:id="1"/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w w:val="48"/>
          <w:sz w:val="130"/>
          <w:szCs w:val="130"/>
        </w:rPr>
        <w:t>文件</w:t>
      </w:r>
    </w:p>
    <w:p>
      <w:pPr>
        <w:spacing w:line="560" w:lineRule="exact"/>
        <w:jc w:val="both"/>
        <w:rPr>
          <w:rFonts w:ascii="Times New Roman" w:hAnsi="Times New Roman" w:eastAsia="方正仿宋简体"/>
          <w:sz w:val="32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方正仿宋简体"/>
          <w:sz w:val="32"/>
        </w:rPr>
        <w:t>沙医保发〔</w:t>
      </w:r>
      <w:r>
        <w:rPr>
          <w:rFonts w:ascii="Times New Roman" w:hAnsi="Times New Roman" w:eastAsia="方正仿宋简体"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简体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简体"/>
          <w:sz w:val="32"/>
        </w:rPr>
        <w:t>号</w:t>
      </w:r>
    </w:p>
    <w:tbl>
      <w:tblPr>
        <w:tblStyle w:val="5"/>
        <w:tblpPr w:leftFromText="180" w:rightFromText="180" w:vertAnchor="page" w:horzAnchor="page" w:tblpX="1787" w:tblpY="6603"/>
        <w:tblW w:w="8700" w:type="dxa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8700" w:type="dxa"/>
            <w:vAlign w:val="top"/>
          </w:tcPr>
          <w:p>
            <w:pPr>
              <w:tabs>
                <w:tab w:val="left" w:pos="1317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317"/>
              </w:tabs>
              <w:jc w:val="left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关于印发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沙坪坝区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医疗保障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工作要点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各镇人民政府、街道办事处，区委各有关部委、区级各有关部门，各有关单位：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Times New Roman" w:hAnsi="Times New Roman" w:eastAsia="方正楷体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小标宋_GBK"/>
          <w:sz w:val="32"/>
          <w:szCs w:val="44"/>
          <w:lang w:val="en-US" w:eastAsia="zh-CN"/>
        </w:rPr>
        <w:t xml:space="preserve">   </w:t>
      </w:r>
      <w:r>
        <w:rPr>
          <w:rFonts w:hint="eastAsia" w:ascii="Times New Roman" w:hAnsi="Times New Roman" w:eastAsia="方正楷体_GBK" w:cs="方正仿宋_GBK"/>
          <w:color w:val="000000"/>
          <w:sz w:val="32"/>
          <w:szCs w:val="32"/>
          <w:lang w:val="en-US" w:eastAsia="zh-CN"/>
        </w:rPr>
        <w:t>现将《2021年沙坪坝区医疗保障工作要点》印发给你们，请结合实际认真贯彻执行。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Times New Roman" w:hAnsi="Times New Roman" w:eastAsia="方正楷体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仿宋_GBK"/>
          <w:color w:val="00000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eastAsia" w:ascii="Times New Roman" w:hAnsi="Times New Roman" w:eastAsia="方正楷体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仿宋_GBK"/>
          <w:color w:val="000000"/>
          <w:sz w:val="32"/>
          <w:szCs w:val="32"/>
          <w:lang w:val="en-US" w:eastAsia="zh-CN"/>
        </w:rPr>
        <w:t xml:space="preserve">                              重庆市沙坪坝区医疗保障局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楷体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仿宋_GBK"/>
          <w:color w:val="000000"/>
          <w:sz w:val="32"/>
          <w:szCs w:val="32"/>
          <w:lang w:val="en-US" w:eastAsia="zh-CN"/>
        </w:rPr>
        <w:t xml:space="preserve">                                     2021年3月11日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年沙坪坝区医疗保障工作要点</w:t>
      </w:r>
    </w:p>
    <w:p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 w:val="0"/>
          <w:sz w:val="32"/>
          <w:szCs w:val="32"/>
        </w:rPr>
        <w:t>2021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年，全区</w:t>
      </w:r>
      <w:r>
        <w:rPr>
          <w:rFonts w:hint="eastAsia"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医疗保障工作以习近平新时代中国特色社会主义思想为指导，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深入贯彻落实</w:t>
      </w:r>
      <w:r>
        <w:rPr>
          <w:rFonts w:hint="eastAsia"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市委、市政府</w:t>
      </w:r>
      <w:r>
        <w:rPr>
          <w:rFonts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深化医疗保障制度改革的</w:t>
      </w:r>
      <w:r>
        <w:rPr>
          <w:rFonts w:hint="eastAsia"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、全国、全市医疗保障工作会和区两会精神</w:t>
      </w:r>
      <w:r>
        <w:rPr>
          <w:rFonts w:hint="eastAsia"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围绕监管、改革、服务重点工作，</w:t>
      </w:r>
      <w:r>
        <w:rPr>
          <w:rFonts w:hint="eastAsia"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</w:t>
      </w:r>
      <w:r>
        <w:rPr>
          <w:rFonts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</w:t>
      </w:r>
      <w:r>
        <w:rPr>
          <w:rFonts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医保高质量发展。</w:t>
      </w:r>
    </w:p>
    <w:p>
      <w:pPr>
        <w:numPr>
          <w:ilvl w:val="0"/>
          <w:numId w:val="1"/>
        </w:numPr>
        <w:spacing w:line="606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完善待遇保障</w:t>
      </w:r>
    </w:p>
    <w:p>
      <w:pPr>
        <w:pStyle w:val="2"/>
        <w:numPr>
          <w:ilvl w:val="0"/>
          <w:numId w:val="0"/>
        </w:numPr>
        <w:ind w:firstLine="560"/>
        <w:rPr>
          <w:rFonts w:hint="eastAsia" w:ascii="Times New Roman" w:hAnsi="Times New Roman" w:eastAsia="方正仿宋_GBK" w:cs="方正仿宋_GBK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落实待遇政策调整。</w:t>
      </w:r>
      <w:r>
        <w:rPr>
          <w:rFonts w:hint="eastAsia" w:ascii="Times New Roman" w:hAnsi="Times New Roman" w:eastAsia="方正仿宋_GBK"/>
          <w:b w:val="0"/>
          <w:sz w:val="32"/>
          <w:lang w:val="en-US" w:eastAsia="zh-CN"/>
        </w:rPr>
        <w:t>执行国家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基本医疗保障待遇清单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制度、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val="en-US" w:eastAsia="zh-CN"/>
        </w:rPr>
        <w:t>重特大疾病医疗保险及救助制度、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职工医保门诊共济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保障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制度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配合做好2021年居民医保新增财政补助资金落实。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推动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val="en-US" w:eastAsia="zh-CN"/>
        </w:rPr>
        <w:t>高血压糖尿病“两病”、“特病”、“国谈药”门诊用药保障。适时启动长期护理险试点。</w:t>
      </w:r>
    </w:p>
    <w:p>
      <w:pPr>
        <w:pStyle w:val="2"/>
        <w:numPr>
          <w:ilvl w:val="0"/>
          <w:numId w:val="0"/>
        </w:numPr>
        <w:ind w:firstLine="560"/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稳定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参保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筹资。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推进全民参保计划，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引导新业态从业人员参保，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参保率稳定在95%以上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协同税务部门做好基金征收和高新区分账工作。</w:t>
      </w:r>
    </w:p>
    <w:p>
      <w:pPr>
        <w:pStyle w:val="2"/>
        <w:numPr>
          <w:ilvl w:val="0"/>
          <w:numId w:val="0"/>
        </w:numPr>
        <w:ind w:firstLine="560"/>
        <w:rPr>
          <w:rFonts w:ascii="Times New Roman" w:hAnsi="Times New Roman" w:eastAsia="方正仿宋_GBK"/>
          <w:b w:val="0"/>
          <w:sz w:val="32"/>
        </w:rPr>
      </w:pPr>
      <w:r>
        <w:rPr>
          <w:rFonts w:hint="eastAsia" w:ascii="Times New Roman" w:hAnsi="Times New Roman" w:eastAsia="方正仿宋_GBK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巩固医保扶贫成效。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依托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三重保障制度，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执行全市统一规范的医疗救助制度和配套政策，加强救助资金管理，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建立健全防范化解因病致贫返贫长效机制。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val="en-US" w:eastAsia="zh-CN"/>
        </w:rPr>
        <w:t>精准做好医疗救助对象（含贫困大学生）参保与资助工作。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继续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加强多部门联动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对象认定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共享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，确保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尽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、应助尽助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应享尽享”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6028"/>
        </w:tabs>
        <w:spacing w:line="594" w:lineRule="exact"/>
        <w:ind w:firstLine="640" w:firstLineChars="200"/>
        <w:rPr>
          <w:rFonts w:ascii="Times New Roman" w:hAnsi="Times New Roman" w:eastAsia="方正仿宋_GBK" w:cs="方正仿宋_GBK"/>
          <w:b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、严格基金监管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全面普法执法。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</w:rPr>
        <w:t>贯彻执行</w:t>
      </w:r>
      <w:r>
        <w:rPr>
          <w:rFonts w:hint="eastAsia" w:ascii="Times New Roman" w:hAnsi="Times New Roman" w:eastAsia="方正仿宋_GBK"/>
          <w:b w:val="0"/>
          <w:bCs/>
          <w:sz w:val="32"/>
          <w:szCs w:val="32"/>
        </w:rPr>
        <w:t>《医疗保障基金使用监督管理条例》</w:t>
      </w:r>
      <w:r>
        <w:rPr>
          <w:rFonts w:hint="eastAsia" w:ascii="Times New Roman" w:hAnsi="Times New Roman" w:eastAsia="方正仿宋_GBK"/>
          <w:b w:val="0"/>
          <w:bCs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_GBK" w:cs="华文仿宋"/>
          <w:b w:val="0"/>
          <w:sz w:val="32"/>
          <w:szCs w:val="32"/>
        </w:rPr>
        <w:t>《重庆市医疗保障基金监督管理办法》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  <w:lang w:eastAsia="zh-CN"/>
        </w:rPr>
        <w:t>全行业培训，全社会宣传，组织“基金监管宣传月”活动，推行行政执法“三项制度”，不断提升依法行政能力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b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val="en-US" w:eastAsia="zh-CN"/>
        </w:rPr>
        <w:t>5.严厉打击欺诈骗保。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val="en-US" w:eastAsia="zh-CN"/>
        </w:rPr>
        <w:t>聚焦“假病人”“假病情”“假票据”“三假”和“乱计费”“乱用药”“乱检查”“三乱”欺诈骗保问题开展专项整治，实行存量问题“清零行动”，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</w:rPr>
        <w:t>实现定点服务机构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  <w:lang w:eastAsia="zh-CN"/>
        </w:rPr>
        <w:t>日常监督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</w:rPr>
        <w:t>全覆盖。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  <w:lang w:eastAsia="zh-CN"/>
        </w:rPr>
        <w:t>配合</w:t>
      </w:r>
      <w:r>
        <w:rPr>
          <w:rFonts w:hint="eastAsia" w:ascii="Times New Roman" w:hAnsi="Times New Roman" w:eastAsia="方正仿宋_GBK"/>
          <w:b w:val="0"/>
          <w:bCs/>
          <w:sz w:val="32"/>
          <w:szCs w:val="32"/>
          <w:lang w:eastAsia="zh-CN"/>
        </w:rPr>
        <w:t>开展飞行检查、</w:t>
      </w:r>
      <w:r>
        <w:rPr>
          <w:rFonts w:hint="eastAsia" w:ascii="Times New Roman" w:hAnsi="Times New Roman" w:eastAsia="方正仿宋_GBK"/>
          <w:b w:val="0"/>
          <w:bCs/>
          <w:sz w:val="32"/>
          <w:szCs w:val="32"/>
        </w:rPr>
        <w:t>市级抽查、片区联组交叉检</w:t>
      </w:r>
      <w:r>
        <w:rPr>
          <w:rFonts w:hint="eastAsia" w:ascii="Times New Roman" w:hAnsi="Times New Roman" w:eastAsia="方正仿宋_GBK"/>
          <w:b w:val="0"/>
          <w:sz w:val="32"/>
          <w:szCs w:val="32"/>
        </w:rPr>
        <w:t>查、部门联合专项检查等</w:t>
      </w:r>
      <w:r>
        <w:rPr>
          <w:rFonts w:hint="eastAsia" w:ascii="Times New Roman" w:hAnsi="Times New Roman" w:eastAsia="方正仿宋_GBK"/>
          <w:b w:val="0"/>
          <w:sz w:val="32"/>
          <w:szCs w:val="32"/>
          <w:lang w:eastAsia="zh-CN"/>
        </w:rPr>
        <w:t>综合监管</w:t>
      </w:r>
      <w:r>
        <w:rPr>
          <w:rFonts w:hint="eastAsia" w:ascii="Times New Roman" w:hAnsi="Times New Roman" w:eastAsia="方正仿宋_GBK"/>
          <w:b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创新监管方式</w:t>
      </w:r>
      <w:r>
        <w:rPr>
          <w:rFonts w:hint="eastAsia" w:ascii="Times New Roman" w:hAnsi="Times New Roman" w:eastAsia="方正仿宋_GBK" w:cs="方正仿宋_GBK"/>
          <w:b/>
          <w:bCs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  <w:lang w:eastAsia="zh-CN"/>
        </w:rPr>
        <w:t>积极引入第三方力量、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</w:rPr>
        <w:t>智能监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  <w:lang w:eastAsia="zh-CN"/>
        </w:rPr>
        <w:t>管系统、落实举报奖励等方式，做好全过程监管，</w:t>
      </w:r>
      <w:r>
        <w:rPr>
          <w:rFonts w:hint="eastAsia" w:ascii="Times New Roman" w:hAnsi="Times New Roman" w:eastAsia="方正仿宋_GBK" w:cs="方正仿宋_GBK"/>
          <w:b w:val="0"/>
          <w:color w:val="000000"/>
          <w:sz w:val="32"/>
          <w:szCs w:val="32"/>
          <w:lang w:eastAsia="zh-CN"/>
        </w:rPr>
        <w:t>维护基金安全</w:t>
      </w:r>
      <w:r>
        <w:rPr>
          <w:rFonts w:hint="eastAsia" w:ascii="Times New Roman" w:hAnsi="Times New Roman" w:eastAsia="方正仿宋_GBK" w:cs="方正仿宋_GBK"/>
          <w:b w:val="0"/>
          <w:color w:val="000000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  <w:t>深化重点改革</w:t>
      </w:r>
    </w:p>
    <w:p>
      <w:pPr>
        <w:spacing w:line="594" w:lineRule="exact"/>
        <w:ind w:firstLine="643" w:firstLineChars="200"/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.深化医保支付方式改革。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推进区人民医院、中西医结合医院DRG支付方式改革进入实付阶段。继续实行总额预算管理，优化分配办法和考核指标设定，继续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实行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按病种、床日、人头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及“两病”用药包干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等多元复合支付方式。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《医疗机构医疗保障定点管理暂行办法》《零售药店医疗保障定点管理暂行办法》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，执行两定经办规程，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强化两定机构协议管理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完善医保协议医疗机构考核办法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.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lang w:eastAsia="zh-CN"/>
        </w:rPr>
        <w:t>深化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药品耗材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lang w:eastAsia="zh-CN"/>
        </w:rPr>
        <w:t>集采改革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。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做好国家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我市药品医用耗材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集采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落地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适时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我市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批次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协议续约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重点落实精准报量、进度检测、按时付款、结余留用考核关键环节。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推进挂网价、采购价、医保支付价三价合一。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left"/>
        <w:textAlignment w:val="auto"/>
        <w:outlineLvl w:val="9"/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9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.深化医疗服务价格改革。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实施医疗服务价格动态调整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机制；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定期监测药品价格和供应变化情况</w:t>
      </w:r>
      <w:r>
        <w:rPr>
          <w:rFonts w:hint="eastAsia" w:ascii="Times New Roman" w:hAnsi="Times New Roman" w:eastAsia="方正仿宋_GBK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执行全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公立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医疗机构病房床位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收费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；配合新增医疗服务价格项目审批</w:t>
      </w:r>
      <w:r>
        <w:rPr>
          <w:rFonts w:ascii="Times New Roman" w:hAnsi="Times New Roman" w:eastAsia="方正仿宋_GBK" w:cs="Times New Roman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val="en-US" w:eastAsia="zh-CN"/>
        </w:rPr>
        <w:t>提升公共服务效能</w:t>
      </w:r>
    </w:p>
    <w:p>
      <w:pPr>
        <w:tabs>
          <w:tab w:val="left" w:pos="6028"/>
        </w:tabs>
        <w:spacing w:line="594" w:lineRule="exact"/>
        <w:ind w:firstLine="643" w:firstLineChars="200"/>
        <w:rPr>
          <w:rFonts w:ascii="Times New Roman" w:hAnsi="Times New Roman" w:eastAsia="方正仿宋_GBK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.推进医保目录动态管理。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执行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国家2</w:t>
      </w:r>
      <w:r>
        <w:rPr>
          <w:rFonts w:ascii="Times New Roman" w:hAnsi="Times New Roman" w:eastAsia="方正仿宋_GBK" w:cs="方正仿宋_GBK"/>
          <w:b w:val="0"/>
          <w:sz w:val="32"/>
          <w:szCs w:val="32"/>
        </w:rPr>
        <w:t>020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年版医保药品目录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；适时启动市级医保医用耗材目录；协助定点机构院内制剂纳入市级医保报销。</w:t>
      </w:r>
    </w:p>
    <w:p>
      <w:pPr>
        <w:spacing w:line="606" w:lineRule="exact"/>
        <w:ind w:firstLine="643" w:firstLineChars="200"/>
        <w:rPr>
          <w:rFonts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.推进异地就医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lang w:eastAsia="zh-CN"/>
        </w:rPr>
        <w:t>联网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结算。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巩固异地住院全国联网结算；扩大异地普通门诊由西南五省联网并入国内部分区域联网结算；试点异地特病门诊西南五省尤其成渝两地联网结算，不断增加辖区医疗机构开通覆盖面。</w:t>
      </w:r>
    </w:p>
    <w:p>
      <w:pPr>
        <w:spacing w:line="606" w:lineRule="exact"/>
        <w:ind w:firstLine="643" w:firstLineChars="200"/>
        <w:rPr>
          <w:rFonts w:ascii="Times New Roman" w:hAnsi="Times New Roman" w:eastAsia="方正仿宋_GBK" w:cs="方正仿宋_GBK"/>
          <w:b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.强化信息化能力建设。</w:t>
      </w:r>
      <w:r>
        <w:rPr>
          <w:rFonts w:hint="eastAsia" w:ascii="Times New Roman" w:hAnsi="Times New Roman" w:eastAsia="方正仿宋_GBK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全面贯彻执行15项医疗保障信息业务编码标准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  <w:lang w:eastAsia="zh-CN"/>
        </w:rPr>
        <w:t>，适时启用我市医保信息新建平台</w:t>
      </w:r>
      <w:r>
        <w:rPr>
          <w:rFonts w:hint="eastAsia" w:ascii="Times New Roman" w:hAnsi="Times New Roman" w:eastAsia="方正仿宋_GBK" w:cs="方正仿宋_GBK"/>
          <w:b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  <w:lang w:val="en-US" w:eastAsia="zh-CN"/>
        </w:rPr>
        <w:t>推进“互联网+医保”，主要医保经办服务事项“网上通办”，实现门诊特病申报、定点医院变更网上办理；互联网医院实现在线结算、用药保障服务等功能；持续推广电子医保凭证使用，辖区所有定点医药机构开通医保电子凭证支付功能，参保人注册</w:t>
      </w:r>
      <w:r>
        <w:rPr>
          <w:rFonts w:hint="eastAsia" w:ascii="Times New Roman" w:hAnsi="Times New Roman" w:eastAsia="方正仿宋_GBK" w:cs="方正仿宋_GBK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激活率达60%以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  <w:lang w:val="en-US" w:eastAsia="zh-CN"/>
        </w:rPr>
        <w:t>上。</w:t>
      </w:r>
    </w:p>
    <w:p>
      <w:pPr>
        <w:spacing w:line="606" w:lineRule="exact"/>
        <w:ind w:firstLine="643" w:firstLineChars="200"/>
        <w:rPr>
          <w:rFonts w:ascii="Times New Roman" w:hAnsi="Times New Roman" w:eastAsia="方正仿宋_GBK"/>
          <w:b w:val="0"/>
          <w:sz w:val="32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.</w:t>
      </w:r>
      <w:r>
        <w:rPr>
          <w:rFonts w:ascii="Times New Roman" w:hAnsi="Times New Roman" w:eastAsia="方正仿宋_GBK" w:cs="方正仿宋_GBK"/>
          <w:b/>
          <w:bCs w:val="0"/>
          <w:sz w:val="32"/>
          <w:szCs w:val="32"/>
        </w:rPr>
        <w:t>提高公共服务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lang w:eastAsia="zh-CN"/>
        </w:rPr>
        <w:t>水平</w:t>
      </w: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</w:rPr>
        <w:t>继续打造“医保随时在您身边”服务品牌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b w:val="0"/>
          <w:color w:val="333333"/>
          <w:kern w:val="0"/>
          <w:sz w:val="32"/>
          <w:szCs w:val="32"/>
          <w:lang w:val="en-US" w:eastAsia="zh-CN"/>
        </w:rPr>
        <w:t>推进医保经办业务事项清单动态管理，实施一窗综办、高频事项跨省通办、全面开展“好差评”。依托街道、社区、高校、医疗机构等场所探索经办服务下沉，启动医保服务站试点，大力推进“就近办”。</w:t>
      </w:r>
    </w:p>
    <w:tbl>
      <w:tblPr>
        <w:tblStyle w:val="6"/>
        <w:tblpPr w:leftFromText="180" w:rightFromText="180" w:vertAnchor="text" w:horzAnchor="page" w:tblpX="1484" w:tblpY="10587"/>
        <w:tblW w:w="916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9164" w:type="dxa"/>
            <w:tcBorders>
              <w:top w:val="nil"/>
              <w:bottom w:val="single" w:color="auto" w:sz="4" w:space="0"/>
            </w:tcBorders>
          </w:tcPr>
          <w:p>
            <w:pPr>
              <w:tabs>
                <w:tab w:val="left" w:pos="1580"/>
              </w:tabs>
              <w:adjustRightInd w:val="0"/>
              <w:snapToGrid w:val="0"/>
              <w:spacing w:line="6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9164" w:type="dxa"/>
            <w:tcBorders>
              <w:top w:val="single" w:color="auto" w:sz="4" w:space="0"/>
            </w:tcBorders>
          </w:tcPr>
          <w:p>
            <w:pPr>
              <w:tabs>
                <w:tab w:val="left" w:pos="1580"/>
              </w:tabs>
              <w:adjustRightInd w:val="0"/>
              <w:snapToGrid w:val="0"/>
              <w:spacing w:line="6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pacing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8"/>
                <w:szCs w:val="28"/>
                <w:lang w:eastAsia="zh-CN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8"/>
                <w:szCs w:val="28"/>
              </w:rPr>
              <w:t>沙坪坝区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8"/>
                <w:szCs w:val="28"/>
                <w:lang w:eastAsia="zh-CN"/>
              </w:rPr>
              <w:t>医疗保障局办公室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pacing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8"/>
                <w:szCs w:val="28"/>
              </w:rPr>
              <w:t>日印发</w:t>
            </w:r>
          </w:p>
          <w:p>
            <w:pPr>
              <w:tabs>
                <w:tab w:val="left" w:pos="1580"/>
              </w:tabs>
              <w:adjustRightInd w:val="0"/>
              <w:snapToGrid w:val="0"/>
              <w:spacing w:line="600" w:lineRule="exact"/>
              <w:ind w:firstLine="320" w:firstLineChars="100"/>
              <w:rPr>
                <w:rFonts w:hint="eastAsia" w:ascii="方正仿宋_GBK" w:hAnsi="方正仿宋_GBK" w:eastAsia="方正仿宋_GBK" w:cs="方正仿宋_GBK"/>
                <w:spacing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70D6E"/>
    <w:multiLevelType w:val="singleLevel"/>
    <w:tmpl w:val="60470D6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D4"/>
    <w:rsid w:val="000070AF"/>
    <w:rsid w:val="000C2E05"/>
    <w:rsid w:val="000E33C7"/>
    <w:rsid w:val="00113CE6"/>
    <w:rsid w:val="00136F9C"/>
    <w:rsid w:val="00160763"/>
    <w:rsid w:val="00211B7F"/>
    <w:rsid w:val="00306F8F"/>
    <w:rsid w:val="003B0B58"/>
    <w:rsid w:val="004A23D3"/>
    <w:rsid w:val="00556939"/>
    <w:rsid w:val="0057154C"/>
    <w:rsid w:val="005805FB"/>
    <w:rsid w:val="00624773"/>
    <w:rsid w:val="006A0C52"/>
    <w:rsid w:val="006B5618"/>
    <w:rsid w:val="006E1DB2"/>
    <w:rsid w:val="00726F40"/>
    <w:rsid w:val="008515CD"/>
    <w:rsid w:val="00861F2B"/>
    <w:rsid w:val="008A1DD9"/>
    <w:rsid w:val="009535D8"/>
    <w:rsid w:val="009572F6"/>
    <w:rsid w:val="00A02DDC"/>
    <w:rsid w:val="00A341D2"/>
    <w:rsid w:val="00A54B9D"/>
    <w:rsid w:val="00A67866"/>
    <w:rsid w:val="00AA2DCE"/>
    <w:rsid w:val="00AB3B1E"/>
    <w:rsid w:val="00C65C27"/>
    <w:rsid w:val="00C842E4"/>
    <w:rsid w:val="00CF7551"/>
    <w:rsid w:val="00E00BF1"/>
    <w:rsid w:val="00E752D4"/>
    <w:rsid w:val="00F70D2B"/>
    <w:rsid w:val="00F75F50"/>
    <w:rsid w:val="047B32A7"/>
    <w:rsid w:val="074E2735"/>
    <w:rsid w:val="083E5ACE"/>
    <w:rsid w:val="092648EE"/>
    <w:rsid w:val="09C35C64"/>
    <w:rsid w:val="0EEE38E2"/>
    <w:rsid w:val="1089697A"/>
    <w:rsid w:val="13CC200B"/>
    <w:rsid w:val="1470360F"/>
    <w:rsid w:val="15CA71D5"/>
    <w:rsid w:val="15F075F4"/>
    <w:rsid w:val="1862612F"/>
    <w:rsid w:val="196A0CC2"/>
    <w:rsid w:val="1BC2211C"/>
    <w:rsid w:val="1EB57FD7"/>
    <w:rsid w:val="23584D6B"/>
    <w:rsid w:val="23B056AE"/>
    <w:rsid w:val="25681E3B"/>
    <w:rsid w:val="28861AFE"/>
    <w:rsid w:val="2BDE25E4"/>
    <w:rsid w:val="2F6B0D39"/>
    <w:rsid w:val="2FB93134"/>
    <w:rsid w:val="30994CC1"/>
    <w:rsid w:val="33574E6F"/>
    <w:rsid w:val="418148B9"/>
    <w:rsid w:val="46B62436"/>
    <w:rsid w:val="492A356F"/>
    <w:rsid w:val="4BEB58FA"/>
    <w:rsid w:val="4D43496A"/>
    <w:rsid w:val="4FB74C62"/>
    <w:rsid w:val="59BC46D9"/>
    <w:rsid w:val="6C270F0B"/>
    <w:rsid w:val="724765BE"/>
    <w:rsid w:val="751D2041"/>
    <w:rsid w:val="76020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20" w:lineRule="atLeast"/>
      <w:ind w:firstLine="51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224</Words>
  <Characters>1282</Characters>
  <Lines>10</Lines>
  <Paragraphs>3</Paragraphs>
  <TotalTime>2</TotalTime>
  <ScaleCrop>false</ScaleCrop>
  <LinksUpToDate>false</LinksUpToDate>
  <CharactersWithSpaces>1503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2019-04-14T02:44:00Z</dcterms:created>
  <dc:creator>番茄花园</dc:creator>
  <cp:lastModifiedBy>Administrator</cp:lastModifiedBy>
  <cp:lastPrinted>2021-03-11T02:17:00Z</cp:lastPrinted>
  <dcterms:modified xsi:type="dcterms:W3CDTF">2023-06-07T02:00:51Z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D614ACA6BE0841DB9BD48AAD5C9130C6</vt:lpwstr>
  </property>
</Properties>
</file>