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方正小标宋简体" w:eastAsia="方正小标宋简体" w:cs="方正小标宋简体"/>
          <w:color w:val="FF0000"/>
          <w:spacing w:val="0"/>
          <w:w w:val="39"/>
          <w:sz w:val="130"/>
          <w:szCs w:val="130"/>
          <w:lang w:val="en-US" w:eastAsia="zh-CN"/>
        </w:rPr>
      </w:pPr>
      <w:bookmarkStart w:id="0" w:name="OLE_LINK1"/>
      <w:r>
        <w:rPr>
          <w:rFonts w:hint="eastAsia" w:ascii="方正小标宋简体" w:hAnsi="方正小标宋简体" w:eastAsia="方正小标宋简体" w:cs="方正小标宋简体"/>
          <w:color w:val="FF0000"/>
          <w:spacing w:val="0"/>
          <w:w w:val="39"/>
          <w:sz w:val="130"/>
          <w:szCs w:val="130"/>
        </w:rPr>
        <w:t>重庆市沙坪坝区医疗保障</w:t>
      </w:r>
      <w:r>
        <w:rPr>
          <w:rFonts w:hint="eastAsia" w:ascii="方正小标宋简体" w:hAnsi="方正小标宋简体" w:eastAsia="方正小标宋简体" w:cs="方正小标宋简体"/>
          <w:color w:val="FF0000"/>
          <w:spacing w:val="0"/>
          <w:w w:val="39"/>
          <w:sz w:val="130"/>
          <w:szCs w:val="130"/>
          <w:lang w:eastAsia="zh-CN"/>
        </w:rPr>
        <w:t>事务中心</w:t>
      </w:r>
      <w:r>
        <w:rPr>
          <w:rFonts w:hint="eastAsia" w:ascii="方正小标宋简体" w:hAnsi="方正小标宋简体" w:eastAsia="方正小标宋简体" w:cs="方正小标宋简体"/>
          <w:color w:val="FF0000"/>
          <w:spacing w:val="0"/>
          <w:w w:val="39"/>
          <w:sz w:val="130"/>
          <w:szCs w:val="130"/>
        </w:rPr>
        <w:t>文</w:t>
      </w:r>
      <w:r>
        <w:rPr>
          <w:rFonts w:hint="eastAsia" w:ascii="方正小标宋简体" w:hAnsi="方正小标宋简体" w:eastAsia="方正小标宋简体" w:cs="方正小标宋简体"/>
          <w:color w:val="FF0000"/>
          <w:spacing w:val="0"/>
          <w:w w:val="39"/>
          <w:sz w:val="130"/>
          <w:szCs w:val="130"/>
          <w:lang w:eastAsia="zh-CN"/>
        </w:rPr>
        <w:t>件</w:t>
      </w:r>
    </w:p>
    <w:p>
      <w:pPr>
        <w:spacing w:line="240" w:lineRule="auto"/>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沙医保</w:t>
      </w:r>
      <w:r>
        <w:rPr>
          <w:rFonts w:hint="default" w:ascii="Times New Roman" w:hAnsi="Times New Roman" w:eastAsia="方正仿宋_GBK" w:cs="Times New Roman"/>
          <w:sz w:val="32"/>
          <w:lang w:eastAsia="zh-CN"/>
        </w:rPr>
        <w:t>中心</w:t>
      </w:r>
      <w:r>
        <w:rPr>
          <w:rFonts w:hint="default" w:ascii="Times New Roman" w:hAnsi="Times New Roman" w:eastAsia="方正仿宋_GBK" w:cs="Times New Roman"/>
          <w:sz w:val="32"/>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rPr>
        <w:t>号</w:t>
      </w:r>
    </w:p>
    <w:p>
      <w:pPr>
        <w:spacing w:line="560" w:lineRule="exact"/>
        <w:jc w:val="both"/>
        <w:rPr>
          <w:rFonts w:eastAsia="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264795</wp:posOffset>
                </wp:positionH>
                <wp:positionV relativeFrom="paragraph">
                  <wp:posOffset>79375</wp:posOffset>
                </wp:positionV>
                <wp:extent cx="5508625" cy="0"/>
                <wp:effectExtent l="0" t="9525" r="15875" b="9525"/>
                <wp:wrapNone/>
                <wp:docPr id="4" name="直接连接符 4"/>
                <wp:cNvGraphicFramePr/>
                <a:graphic xmlns:a="http://schemas.openxmlformats.org/drawingml/2006/main">
                  <a:graphicData uri="http://schemas.microsoft.com/office/word/2010/wordprocessingShape">
                    <wps:wsp>
                      <wps:cNvCnPr/>
                      <wps:spPr>
                        <a:xfrm>
                          <a:off x="1194435" y="3071495"/>
                          <a:ext cx="55086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85pt;margin-top:6.25pt;height:0pt;width:433.75pt;z-index:251660288;mso-width-relative:page;mso-height-relative:page;" filled="f" stroked="t" coordsize="21600,21600" o:gfxdata="UEsDBAoAAAAAAIdO4kAAAAAAAAAAAAAAAAAEAAAAZHJzL1BLAwQUAAAACACHTuJA4p7OyNcAAAAI&#10;AQAADwAAAGRycy9kb3ducmV2LnhtbE2PwU7DMBBE70j8g7VI3KidCFIa4vQQCZUDUtXAAW5uvCQR&#10;8TqK3Sb8PYs4wHFnRrNviu3iBnHGKfSeNCQrBQKp8banVsPry+PNPYgQDVkzeEINXxhgW15eFCa3&#10;fqYDnuvYCi6hkBsNXYxjLmVoOnQmrPyIxN6Hn5yJfE6ttJOZudwNMlUqk870xB86M2LVYfNZn5yG&#10;t/1uPz5XVeaf3nfz0mZJfVgPWl9fJeoBRMQl/oXhB5/RoWSmoz+RDWLQcJusOcl6egeC/Y3apCCO&#10;v4IsC/l/QPkNUEsDBBQAAAAIAIdO4kD74DKlzgEAAFkDAAAOAAAAZHJzL2Uyb0RvYy54bWytU0uO&#10;00AQ3SNxh1bviZ2MM0ysOLOYKGwQRAIOUGm37Zb6p64mTi7BBZDYwYole27DcAyqO2E+sEN4Ue7P&#10;86t6r8rL64PRbC8DKmcbPp2UnEkrXKts3/B3bzfPrjjDCLYF7axs+FEiv149fbIcfS1nbnC6lYER&#10;icV69A0fYvR1UaAYpAGcOC8tXXYuGIi0DX3RBhiJ3ehiVpaXxehC64MTEpFO16dLvsr8XSdFfN11&#10;KCPTDafaYo4hx12KxWoJdR/AD0qcy4B/qMKAspT0jmoNEdj7oP6iMkoEh66LE+FM4bpOCZk1kJpp&#10;+YeaNwN4mbWQOejvbML/Ryte7beBqbbhFWcWDLXo9uO3Hx8+//z+ieLt1y+sSiaNHmvC3thtOO/Q&#10;b0NSfOiCSW/Swg40AtNFVV3MOTs2/KJ8Pq0W85PJ8hCZIMB8Xl5dzgggCJEbUNyT+IDxhXSGpUXD&#10;tbJJP9Swf4mREhP0NyQdW7dRWuceastGyr4o59RmATRKnYZIS+NJHNqeM9A9zaiIIVOi06pNnyci&#10;DP3uRge2B5qTzaakJ1VN6R7BUu414HDC5aszTFtCJ5NOtqTVzrXH7FY+p/5lvvOspQF5uM9f3/8R&#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ins7I1wAAAAgBAAAPAAAAAAAAAAEAIAAAACIAAABk&#10;cnMvZG93bnJldi54bWxQSwECFAAUAAAACACHTuJA++Aypc4BAABZAwAADgAAAAAAAAABACAAAAAm&#10;AQAAZHJzL2Uyb0RvYy54bWxQSwUGAAAAAAYABgBZAQAAZgUAAAAA&#10;">
                <v:fill on="f" focussize="0,0"/>
                <v:stroke weight="1.5pt" color="#FF0000 [3204]" joinstyle="round"/>
                <v:imagedata o:title=""/>
                <o:lock v:ext="edit" aspectratio="f"/>
              </v:line>
            </w:pict>
          </mc:Fallback>
        </mc:AlternateContent>
      </w:r>
    </w:p>
    <w:bookmarkEnd w:id="0"/>
    <w:p>
      <w:pPr>
        <w:keepNext w:val="0"/>
        <w:keepLines w:val="0"/>
        <w:pageBreakBefore w:val="0"/>
        <w:widowControl/>
        <w:shd w:val="clear" w:color="auto" w:fill="FFFFFF"/>
        <w:kinsoku/>
        <w:overflowPunct w:val="0"/>
        <w:topLinePunct w:val="0"/>
        <w:autoSpaceDE/>
        <w:autoSpaceDN/>
        <w:bidi w:val="0"/>
        <w:adjustRightInd/>
        <w:snapToGrid/>
        <w:spacing w:line="580" w:lineRule="exact"/>
        <w:jc w:val="center"/>
        <w:textAlignment w:val="auto"/>
        <w:outlineLvl w:val="9"/>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关于确定沙坪坝冉李晋口腔诊所等22家机构为医保定点医药机构的通知</w:t>
      </w:r>
    </w:p>
    <w:p>
      <w:pPr>
        <w:keepNext w:val="0"/>
        <w:keepLines w:val="0"/>
        <w:pageBreakBefore w:val="0"/>
        <w:widowControl/>
        <w:shd w:val="clear" w:color="auto" w:fill="FFFFFF"/>
        <w:kinsoku/>
        <w:overflowPunct w:val="0"/>
        <w:topLinePunct w:val="0"/>
        <w:autoSpaceDE/>
        <w:autoSpaceDN/>
        <w:bidi w:val="0"/>
        <w:adjustRightInd/>
        <w:snapToGrid/>
        <w:spacing w:line="580" w:lineRule="exact"/>
        <w:jc w:val="center"/>
        <w:textAlignment w:val="auto"/>
        <w:outlineLvl w:val="9"/>
        <w:rPr>
          <w:rFonts w:ascii="方正仿宋_GBK" w:hAnsi="宋体" w:eastAsia="方正仿宋_GBK" w:cs="宋体"/>
          <w:kern w:val="0"/>
          <w:sz w:val="33"/>
          <w:szCs w:val="33"/>
        </w:rPr>
      </w:pPr>
    </w:p>
    <w:p>
      <w:pPr>
        <w:keepNext w:val="0"/>
        <w:keepLines w:val="0"/>
        <w:pageBreakBefore w:val="0"/>
        <w:widowControl/>
        <w:shd w:val="clear" w:color="auto" w:fill="FFFFFF"/>
        <w:kinsoku/>
        <w:overflowPunct w:val="0"/>
        <w:topLinePunct w:val="0"/>
        <w:autoSpaceDE/>
        <w:autoSpaceDN/>
        <w:bidi w:val="0"/>
        <w:adjustRightInd/>
        <w:snapToGrid/>
        <w:spacing w:line="580" w:lineRule="exact"/>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各有关参保单位、定点单位：</w:t>
      </w:r>
    </w:p>
    <w:p>
      <w:pPr>
        <w:keepNext w:val="0"/>
        <w:keepLines w:val="0"/>
        <w:pageBreakBefore w:val="0"/>
        <w:kinsoku/>
        <w:overflowPunct w:val="0"/>
        <w:topLinePunct w:val="0"/>
        <w:autoSpaceDE/>
        <w:autoSpaceDN/>
        <w:bidi w:val="0"/>
        <w:adjustRightInd/>
        <w:snapToGrid/>
        <w:spacing w:line="580" w:lineRule="exact"/>
        <w:ind w:firstLine="692"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重庆市人力资源和社会保障局关于完善医疗工伤生育保险定点医药机构协议管理有关问题的通知》（渝人社发〔2016〕94号）、《重庆市社会保险局关于完善重庆市医疗工伤生育保险定点医药机构协议管理实施办法的通知》（渝社险发〔2016〕38号）、《医疗机构医疗保障定点管理暂行办法》（国家医疗保障局令第2号）及《零售药店医疗保障定点管理暂行办法》（国家医疗保障局令第3号）文件精神，</w:t>
      </w:r>
      <w:r>
        <w:rPr>
          <w:rFonts w:hint="default" w:ascii="Times New Roman" w:hAnsi="Times New Roman" w:eastAsia="方正仿宋_GBK" w:cs="Times New Roman"/>
          <w:color w:val="auto"/>
          <w:kern w:val="0"/>
          <w:sz w:val="32"/>
          <w:szCs w:val="32"/>
        </w:rPr>
        <w:t>我</w:t>
      </w:r>
      <w:r>
        <w:rPr>
          <w:rFonts w:hint="default" w:ascii="Times New Roman" w:hAnsi="Times New Roman" w:eastAsia="方正仿宋_GBK" w:cs="Times New Roman"/>
          <w:color w:val="auto"/>
          <w:kern w:val="0"/>
          <w:sz w:val="32"/>
          <w:szCs w:val="32"/>
          <w:lang w:eastAsia="zh-CN"/>
        </w:rPr>
        <w:t>中心</w:t>
      </w:r>
      <w:r>
        <w:rPr>
          <w:rFonts w:hint="default" w:ascii="Times New Roman" w:hAnsi="Times New Roman" w:eastAsia="方正仿宋_GBK" w:cs="Times New Roman"/>
          <w:color w:val="auto"/>
          <w:kern w:val="0"/>
          <w:sz w:val="32"/>
          <w:szCs w:val="32"/>
        </w:rPr>
        <w:t>对沙坪坝冉李晋口腔诊所等22家医疗机构进行了资料</w:t>
      </w:r>
      <w:r>
        <w:rPr>
          <w:rFonts w:hint="default" w:ascii="Times New Roman" w:hAnsi="Times New Roman" w:eastAsia="方正仿宋_GBK" w:cs="Times New Roman"/>
          <w:kern w:val="0"/>
          <w:sz w:val="32"/>
          <w:szCs w:val="32"/>
        </w:rPr>
        <w:t>审核、实地查看、多方评估、集体研究，认为沙坪坝冉李晋口腔诊所等7家医疗机构达到医疗保障定点医疗机构资格条件；重庆德康阁荣烨大药房等15家药店达到医疗保障定点零售药店资格条件，经公示无异议，现予以公布。</w:t>
      </w:r>
    </w:p>
    <w:p>
      <w:pPr>
        <w:keepNext w:val="0"/>
        <w:keepLines w:val="0"/>
        <w:pageBreakBefore w:val="0"/>
        <w:kinsoku/>
        <w:overflowPunct w:val="0"/>
        <w:topLinePunct w:val="0"/>
        <w:autoSpaceDE/>
        <w:autoSpaceDN/>
        <w:bidi w:val="0"/>
        <w:adjustRightInd/>
        <w:snapToGrid/>
        <w:spacing w:line="580" w:lineRule="exact"/>
        <w:ind w:firstLine="692" w:firstLineChars="200"/>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rPr>
        <w:t>沙</w:t>
      </w:r>
      <w:bookmarkStart w:id="2" w:name="_GoBack"/>
      <w:bookmarkEnd w:id="2"/>
      <w:r>
        <w:rPr>
          <w:rFonts w:hint="default" w:ascii="Times New Roman" w:hAnsi="Times New Roman" w:eastAsia="方正仿宋_GBK" w:cs="Times New Roman"/>
          <w:kern w:val="0"/>
          <w:sz w:val="32"/>
          <w:szCs w:val="32"/>
        </w:rPr>
        <w:t>坪坝冉李晋口腔诊所等7家医疗机构</w:t>
      </w:r>
      <w:r>
        <w:rPr>
          <w:rFonts w:hint="default" w:ascii="Times New Roman" w:hAnsi="Times New Roman" w:eastAsia="方正仿宋_GBK" w:cs="Times New Roman"/>
          <w:color w:val="auto"/>
          <w:kern w:val="0"/>
          <w:sz w:val="32"/>
          <w:szCs w:val="32"/>
        </w:rPr>
        <w:t>执业许可证等相关资料均无机构等级认定，拟按</w:t>
      </w:r>
      <w:r>
        <w:rPr>
          <w:rFonts w:hint="default" w:ascii="Times New Roman" w:hAnsi="Times New Roman" w:eastAsia="方正仿宋_GBK" w:cs="Times New Roman"/>
          <w:color w:val="auto"/>
          <w:kern w:val="0"/>
          <w:sz w:val="32"/>
          <w:szCs w:val="32"/>
          <w:lang w:eastAsia="zh-CN"/>
        </w:rPr>
        <w:t>无等</w:t>
      </w:r>
      <w:r>
        <w:rPr>
          <w:rFonts w:hint="default" w:ascii="Times New Roman" w:hAnsi="Times New Roman" w:eastAsia="方正仿宋_GBK" w:cs="Times New Roman"/>
          <w:color w:val="auto"/>
          <w:kern w:val="0"/>
          <w:sz w:val="32"/>
          <w:szCs w:val="32"/>
        </w:rPr>
        <w:t>级医疗机构暂行管理，</w:t>
      </w:r>
      <w:r>
        <w:rPr>
          <w:rFonts w:hint="default" w:ascii="Times New Roman" w:hAnsi="Times New Roman" w:eastAsia="方正仿宋_GBK" w:cs="Times New Roman"/>
          <w:kern w:val="0"/>
          <w:sz w:val="32"/>
          <w:szCs w:val="32"/>
        </w:rPr>
        <w:t>并确定医疗保险服务范围为普通门诊。重庆德康阁荣烨大药房等15家药店确定医疗保险服务范围为药店购药</w:t>
      </w:r>
      <w:r>
        <w:rPr>
          <w:rFonts w:hint="default" w:ascii="Times New Roman" w:hAnsi="Times New Roman" w:eastAsia="方正仿宋_GBK" w:cs="Times New Roman"/>
          <w:color w:val="auto"/>
          <w:kern w:val="0"/>
          <w:sz w:val="32"/>
          <w:szCs w:val="32"/>
        </w:rPr>
        <w:t>（不含</w:t>
      </w:r>
      <w:r>
        <w:rPr>
          <w:rFonts w:hint="default" w:ascii="Times New Roman" w:hAnsi="Times New Roman" w:eastAsia="方正仿宋_GBK" w:cs="Times New Roman"/>
          <w:color w:val="auto"/>
          <w:kern w:val="0"/>
          <w:sz w:val="32"/>
          <w:szCs w:val="32"/>
          <w:lang w:val="en-US" w:eastAsia="zh-CN"/>
        </w:rPr>
        <w:t>国谈药定点及</w:t>
      </w:r>
      <w:r>
        <w:rPr>
          <w:rFonts w:hint="default" w:ascii="Times New Roman" w:hAnsi="Times New Roman" w:eastAsia="方正仿宋_GBK" w:cs="Times New Roman"/>
          <w:color w:val="auto"/>
          <w:kern w:val="0"/>
          <w:sz w:val="32"/>
          <w:szCs w:val="32"/>
        </w:rPr>
        <w:t>特病定点购药）。</w:t>
      </w:r>
    </w:p>
    <w:p>
      <w:pPr>
        <w:keepNext w:val="0"/>
        <w:keepLines w:val="0"/>
        <w:pageBreakBefore w:val="0"/>
        <w:widowControl/>
        <w:shd w:val="clear" w:color="auto" w:fill="FFFFFF"/>
        <w:kinsoku/>
        <w:overflowPunct w:val="0"/>
        <w:topLinePunct w:val="0"/>
        <w:autoSpaceDE/>
        <w:autoSpaceDN/>
        <w:bidi w:val="0"/>
        <w:adjustRightInd/>
        <w:snapToGrid/>
        <w:spacing w:line="580" w:lineRule="exact"/>
        <w:ind w:firstLine="692"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auto"/>
          <w:kern w:val="0"/>
          <w:sz w:val="32"/>
          <w:szCs w:val="32"/>
        </w:rPr>
        <w:t>我</w:t>
      </w:r>
      <w:r>
        <w:rPr>
          <w:rFonts w:hint="default" w:ascii="Times New Roman" w:hAnsi="Times New Roman" w:eastAsia="方正仿宋_GBK" w:cs="Times New Roman"/>
          <w:color w:val="auto"/>
          <w:kern w:val="0"/>
          <w:sz w:val="32"/>
          <w:szCs w:val="32"/>
          <w:lang w:eastAsia="zh-CN"/>
        </w:rPr>
        <w:t>中心</w:t>
      </w:r>
      <w:r>
        <w:rPr>
          <w:rFonts w:hint="default" w:ascii="Times New Roman" w:hAnsi="Times New Roman" w:eastAsia="方正仿宋_GBK" w:cs="Times New Roman"/>
          <w:kern w:val="0"/>
          <w:sz w:val="32"/>
          <w:szCs w:val="32"/>
        </w:rPr>
        <w:t>对管辖范围内的医保定点医药机构实行一点一证管理，申报的定点单位与其定点服务地址相应，定点单位的其他分支机构未经我</w:t>
      </w:r>
      <w:r>
        <w:rPr>
          <w:rFonts w:hint="default" w:ascii="Times New Roman" w:hAnsi="Times New Roman" w:eastAsia="方正仿宋_GBK" w:cs="Times New Roman"/>
          <w:kern w:val="0"/>
          <w:sz w:val="32"/>
          <w:szCs w:val="32"/>
          <w:lang w:eastAsia="zh-CN"/>
        </w:rPr>
        <w:t>中心</w:t>
      </w:r>
      <w:r>
        <w:rPr>
          <w:rFonts w:hint="default" w:ascii="Times New Roman" w:hAnsi="Times New Roman" w:eastAsia="方正仿宋_GBK" w:cs="Times New Roman"/>
          <w:kern w:val="0"/>
          <w:sz w:val="32"/>
          <w:szCs w:val="32"/>
        </w:rPr>
        <w:t>批准，不得纳入医疗保险服务范围。</w:t>
      </w:r>
    </w:p>
    <w:p>
      <w:pPr>
        <w:keepNext w:val="0"/>
        <w:keepLines w:val="0"/>
        <w:pageBreakBefore w:val="0"/>
        <w:widowControl/>
        <w:shd w:val="clear" w:color="auto" w:fill="FFFFFF"/>
        <w:kinsoku/>
        <w:overflowPunct w:val="0"/>
        <w:topLinePunct w:val="0"/>
        <w:autoSpaceDE/>
        <w:autoSpaceDN/>
        <w:bidi w:val="0"/>
        <w:adjustRightInd/>
        <w:snapToGrid/>
        <w:spacing w:line="580" w:lineRule="exact"/>
        <w:ind w:firstLine="692" w:firstLineChars="200"/>
        <w:jc w:val="left"/>
        <w:textAlignment w:val="auto"/>
        <w:outlineLvl w:val="9"/>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val="0"/>
        <w:topLinePunct w:val="0"/>
        <w:autoSpaceDE/>
        <w:autoSpaceDN/>
        <w:bidi w:val="0"/>
        <w:adjustRightInd w:val="0"/>
        <w:snapToGrid/>
        <w:spacing w:line="580" w:lineRule="exact"/>
        <w:ind w:left="2249" w:leftChars="300" w:hanging="1211" w:hangingChars="35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kern w:val="0"/>
          <w:sz w:val="32"/>
          <w:szCs w:val="32"/>
        </w:rPr>
        <w:t>1</w:t>
      </w:r>
      <w:r>
        <w:rPr>
          <w:rFonts w:hint="eastAsia" w:cs="Times New Roman"/>
          <w:kern w:val="0"/>
          <w:sz w:val="32"/>
          <w:szCs w:val="32"/>
          <w:lang w:val="en-US" w:eastAsia="zh-CN"/>
        </w:rPr>
        <w:t>.</w:t>
      </w:r>
      <w:r>
        <w:rPr>
          <w:rFonts w:hint="default" w:ascii="Times New Roman" w:hAnsi="Times New Roman" w:eastAsia="方正仿宋_GBK" w:cs="Times New Roman"/>
          <w:kern w:val="0"/>
          <w:sz w:val="32"/>
          <w:szCs w:val="32"/>
        </w:rPr>
        <w:t>沙坪坝冉李晋口腔诊所等7家医保定点医疗机构名单</w:t>
      </w:r>
    </w:p>
    <w:p>
      <w:pPr>
        <w:keepNext w:val="0"/>
        <w:keepLines w:val="0"/>
        <w:pageBreakBefore w:val="0"/>
        <w:widowControl w:val="0"/>
        <w:numPr>
          <w:ilvl w:val="0"/>
          <w:numId w:val="0"/>
        </w:numPr>
        <w:kinsoku/>
        <w:wordWrap/>
        <w:overflowPunct w:val="0"/>
        <w:topLinePunct w:val="0"/>
        <w:autoSpaceDE/>
        <w:autoSpaceDN/>
        <w:bidi w:val="0"/>
        <w:adjustRightInd w:val="0"/>
        <w:snapToGrid/>
        <w:spacing w:line="580" w:lineRule="exact"/>
        <w:ind w:left="2249" w:leftChars="600" w:hanging="173" w:hangingChars="50"/>
        <w:jc w:val="left"/>
        <w:textAlignment w:val="auto"/>
        <w:outlineLvl w:val="9"/>
        <w:rPr>
          <w:rFonts w:hint="default" w:ascii="Times New Roman" w:hAnsi="Times New Roman" w:eastAsia="方正仿宋_GBK" w:cs="Times New Roman"/>
          <w:kern w:val="0"/>
          <w:sz w:val="32"/>
          <w:szCs w:val="32"/>
        </w:rPr>
      </w:pPr>
      <w:r>
        <w:rPr>
          <w:rFonts w:hint="eastAsia" w:cs="Times New Roman"/>
          <w:kern w:val="0"/>
          <w:sz w:val="32"/>
          <w:szCs w:val="32"/>
          <w:lang w:val="en-US" w:eastAsia="zh-CN"/>
        </w:rPr>
        <w:t>2.</w:t>
      </w:r>
      <w:r>
        <w:rPr>
          <w:rFonts w:hint="default" w:ascii="Times New Roman" w:hAnsi="Times New Roman" w:eastAsia="方正仿宋_GBK" w:cs="Times New Roman"/>
          <w:kern w:val="0"/>
          <w:sz w:val="32"/>
          <w:szCs w:val="32"/>
        </w:rPr>
        <w:t>重庆德康阁荣烨大药房等15家医保定点零售药店名单</w:t>
      </w:r>
    </w:p>
    <w:p>
      <w:pPr>
        <w:pStyle w:val="2"/>
        <w:keepNext w:val="0"/>
        <w:keepLines w:val="0"/>
        <w:pageBreakBefore w:val="0"/>
        <w:widowControl w:val="0"/>
        <w:numPr>
          <w:ilvl w:val="0"/>
          <w:numId w:val="0"/>
        </w:numPr>
        <w:kinsoku/>
        <w:wordWrap/>
        <w:topLinePunct w:val="0"/>
        <w:autoSpaceDE/>
        <w:autoSpaceDN/>
        <w:bidi w:val="0"/>
        <w:snapToGrid/>
        <w:ind w:left="2249" w:leftChars="300" w:hanging="1211" w:hangingChars="350"/>
        <w:textAlignment w:val="auto"/>
        <w:outlineLvl w:val="9"/>
        <w:rPr>
          <w:rFonts w:hint="default" w:ascii="Times New Roman" w:hAnsi="Times New Roman" w:eastAsia="方正仿宋_GBK" w:cs="Times New Roman"/>
          <w:sz w:val="32"/>
          <w:szCs w:val="32"/>
        </w:rPr>
      </w:pPr>
    </w:p>
    <w:p>
      <w:pPr>
        <w:keepNext w:val="0"/>
        <w:keepLines w:val="0"/>
        <w:pageBreakBefore w:val="0"/>
        <w:kinsoku/>
        <w:overflowPunct w:val="0"/>
        <w:topLinePunct w:val="0"/>
        <w:autoSpaceDE/>
        <w:autoSpaceDN/>
        <w:bidi w:val="0"/>
        <w:adjustRightInd/>
        <w:snapToGrid/>
        <w:spacing w:line="580" w:lineRule="exact"/>
        <w:ind w:firstLine="2422" w:firstLineChars="7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kinsoku/>
        <w:overflowPunct w:val="0"/>
        <w:topLinePunct w:val="0"/>
        <w:autoSpaceDE/>
        <w:autoSpaceDN/>
        <w:bidi w:val="0"/>
        <w:adjustRightInd/>
        <w:snapToGrid/>
        <w:spacing w:line="580" w:lineRule="exact"/>
        <w:ind w:firstLine="3460" w:firstLineChars="100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重庆市沙坪坝区医疗保障事务中心</w:t>
      </w:r>
    </w:p>
    <w:p>
      <w:pPr>
        <w:keepNext w:val="0"/>
        <w:keepLines w:val="0"/>
        <w:pageBreakBefore w:val="0"/>
        <w:kinsoku/>
        <w:wordWrap w:val="0"/>
        <w:overflowPunct w:val="0"/>
        <w:topLinePunct w:val="0"/>
        <w:autoSpaceDE/>
        <w:autoSpaceDN/>
        <w:bidi w:val="0"/>
        <w:adjustRightInd/>
        <w:snapToGrid/>
        <w:spacing w:line="580" w:lineRule="exact"/>
        <w:ind w:right="495" w:firstLine="692" w:firstLineChars="20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2021年8月</w:t>
      </w:r>
      <w:r>
        <w:rPr>
          <w:rFonts w:hint="default" w:ascii="Times New Roman" w:hAnsi="Times New Roman" w:eastAsia="方正仿宋_GBK" w:cs="Times New Roman"/>
          <w:sz w:val="32"/>
          <w:szCs w:val="32"/>
          <w:lang w:val="en-US" w:eastAsia="zh-CN"/>
        </w:rPr>
        <w:t xml:space="preserve"> 26</w:t>
      </w:r>
      <w:r>
        <w:rPr>
          <w:rFonts w:hint="default" w:ascii="Times New Roman" w:hAnsi="Times New Roman" w:eastAsia="方正仿宋_GBK" w:cs="Times New Roman"/>
          <w:sz w:val="32"/>
          <w:szCs w:val="32"/>
        </w:rPr>
        <w:t>日</w:t>
      </w:r>
    </w:p>
    <w:p>
      <w:pPr>
        <w:keepNext w:val="0"/>
        <w:keepLines w:val="0"/>
        <w:pageBreakBefore w:val="0"/>
        <w:kinsoku/>
        <w:overflowPunct w:val="0"/>
        <w:topLinePunct w:val="0"/>
        <w:autoSpaceDE/>
        <w:autoSpaceDN/>
        <w:bidi w:val="0"/>
        <w:adjustRightInd/>
        <w:snapToGrid/>
        <w:spacing w:line="580" w:lineRule="exact"/>
        <w:textAlignment w:val="auto"/>
        <w:outlineLvl w:val="9"/>
        <w:rPr>
          <w:rFonts w:hint="default" w:ascii="Times New Roman" w:hAnsi="Times New Roman" w:eastAsia="方正仿宋_GBK" w:cs="Times New Roman"/>
          <w:sz w:val="32"/>
          <w:szCs w:val="32"/>
        </w:rPr>
      </w:pPr>
    </w:p>
    <w:p>
      <w:pPr>
        <w:pStyle w:val="3"/>
        <w:keepNext w:val="0"/>
        <w:keepLines w:val="0"/>
        <w:pageBreakBefore w:val="0"/>
        <w:pBdr>
          <w:top w:val="single" w:color="auto" w:sz="6" w:space="1"/>
          <w:bottom w:val="single" w:color="auto" w:sz="6" w:space="1"/>
        </w:pBdr>
        <w:tabs>
          <w:tab w:val="right" w:pos="8823"/>
        </w:tabs>
        <w:kinsoku/>
        <w:overflowPunct w:val="0"/>
        <w:topLinePunct w:val="0"/>
        <w:autoSpaceDE/>
        <w:autoSpaceDN/>
        <w:bidi w:val="0"/>
        <w:adjustRightInd/>
        <w:snapToGrid/>
        <w:spacing w:line="580" w:lineRule="exact"/>
        <w:textAlignment w:val="auto"/>
        <w:outlineLvl w:val="9"/>
        <w:rPr>
          <w:rFonts w:hint="default" w:ascii="Times New Roman" w:hAnsi="Times New Roman" w:eastAsia="方正仿宋_GBK" w:cs="Times New Roman"/>
          <w:sz w:val="32"/>
          <w:szCs w:val="32"/>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pgNumType w:fmt="decimalFullWidth"/>
          <w:cols w:space="0" w:num="1"/>
          <w:rtlGutter w:val="1"/>
          <w:docGrid w:type="linesAndChars" w:linePitch="600" w:charSpace="5466"/>
        </w:sectPr>
      </w:pPr>
    </w:p>
    <w:tbl>
      <w:tblPr>
        <w:tblStyle w:val="10"/>
        <w:tblW w:w="12149" w:type="dxa"/>
        <w:tblInd w:w="-59" w:type="dxa"/>
        <w:tblLayout w:type="fixed"/>
        <w:tblCellMar>
          <w:top w:w="0" w:type="dxa"/>
          <w:left w:w="108" w:type="dxa"/>
          <w:bottom w:w="0" w:type="dxa"/>
          <w:right w:w="108" w:type="dxa"/>
        </w:tblCellMar>
      </w:tblPr>
      <w:tblGrid>
        <w:gridCol w:w="871"/>
        <w:gridCol w:w="1833"/>
        <w:gridCol w:w="908"/>
        <w:gridCol w:w="1639"/>
        <w:gridCol w:w="1000"/>
        <w:gridCol w:w="1961"/>
        <w:gridCol w:w="737"/>
        <w:gridCol w:w="1188"/>
        <w:gridCol w:w="236"/>
        <w:gridCol w:w="1776"/>
      </w:tblGrid>
      <w:tr>
        <w:tblPrEx>
          <w:tblLayout w:type="fixed"/>
          <w:tblCellMar>
            <w:top w:w="0" w:type="dxa"/>
            <w:left w:w="108" w:type="dxa"/>
            <w:bottom w:w="0" w:type="dxa"/>
            <w:right w:w="108" w:type="dxa"/>
          </w:tblCellMar>
        </w:tblPrEx>
        <w:trPr>
          <w:gridAfter w:val="1"/>
          <w:wAfter w:w="1776" w:type="dxa"/>
          <w:trHeight w:val="90" w:hRule="atLeast"/>
        </w:trPr>
        <w:tc>
          <w:tcPr>
            <w:tcW w:w="2704" w:type="dxa"/>
            <w:gridSpan w:val="2"/>
            <w:tcBorders>
              <w:top w:val="nil"/>
              <w:left w:val="nil"/>
              <w:bottom w:val="nil"/>
              <w:right w:val="nil"/>
            </w:tcBorders>
            <w:shd w:val="clear" w:color="auto" w:fill="auto"/>
            <w:vAlign w:val="bottom"/>
          </w:tcPr>
          <w:p>
            <w:pPr>
              <w:widowControl/>
              <w:jc w:val="left"/>
              <w:rPr>
                <w:rFonts w:ascii="方正仿宋_GBK" w:hAnsi="宋体" w:eastAsia="方正仿宋_GBK" w:cs="宋体"/>
                <w:color w:val="000000"/>
                <w:kern w:val="0"/>
                <w:sz w:val="24"/>
              </w:rPr>
            </w:pPr>
            <w:bookmarkStart w:id="1" w:name="RANGE!A1:J38"/>
            <w:r>
              <w:rPr>
                <w:rFonts w:hint="eastAsia" w:ascii="方正黑体_GBK" w:hAnsi="方正黑体_GBK" w:eastAsia="方正黑体_GBK" w:cs="方正黑体_GBK"/>
                <w:color w:val="000000"/>
                <w:kern w:val="0"/>
                <w:sz w:val="32"/>
                <w:szCs w:val="32"/>
              </w:rPr>
              <w:t>附件</w:t>
            </w:r>
            <w:r>
              <w:rPr>
                <w:rFonts w:hint="default" w:ascii="Times New Roman" w:hAnsi="Times New Roman" w:eastAsia="方正黑体_GBK" w:cs="Times New Roman"/>
                <w:color w:val="000000"/>
                <w:kern w:val="0"/>
                <w:sz w:val="32"/>
                <w:szCs w:val="32"/>
              </w:rPr>
              <w:t>1</w:t>
            </w:r>
            <w:bookmarkEnd w:id="1"/>
          </w:p>
        </w:tc>
        <w:tc>
          <w:tcPr>
            <w:tcW w:w="2547" w:type="dxa"/>
            <w:gridSpan w:val="2"/>
            <w:tcBorders>
              <w:top w:val="nil"/>
              <w:left w:val="nil"/>
              <w:bottom w:val="nil"/>
              <w:right w:val="nil"/>
            </w:tcBorders>
            <w:shd w:val="clear" w:color="auto" w:fill="auto"/>
            <w:vAlign w:val="bottom"/>
          </w:tcPr>
          <w:p>
            <w:pPr>
              <w:widowControl/>
              <w:jc w:val="left"/>
              <w:rPr>
                <w:rFonts w:ascii="仿宋_GB2312" w:hAnsi="宋体" w:eastAsia="仿宋_GB2312" w:cs="宋体"/>
                <w:color w:val="000000"/>
                <w:kern w:val="0"/>
                <w:sz w:val="24"/>
              </w:rPr>
            </w:pPr>
          </w:p>
        </w:tc>
        <w:tc>
          <w:tcPr>
            <w:tcW w:w="1000" w:type="dxa"/>
            <w:tcBorders>
              <w:top w:val="nil"/>
              <w:left w:val="nil"/>
              <w:bottom w:val="nil"/>
              <w:right w:val="nil"/>
            </w:tcBorders>
            <w:shd w:val="clear" w:color="auto" w:fill="auto"/>
            <w:vAlign w:val="bottom"/>
          </w:tcPr>
          <w:p>
            <w:pPr>
              <w:widowControl/>
              <w:jc w:val="center"/>
              <w:rPr>
                <w:rFonts w:ascii="仿宋_GB2312" w:hAnsi="宋体" w:eastAsia="仿宋_GB2312" w:cs="宋体"/>
                <w:color w:val="000000"/>
                <w:kern w:val="0"/>
                <w:sz w:val="24"/>
              </w:rPr>
            </w:pPr>
          </w:p>
        </w:tc>
        <w:tc>
          <w:tcPr>
            <w:tcW w:w="3886" w:type="dxa"/>
            <w:gridSpan w:val="3"/>
            <w:tcBorders>
              <w:top w:val="nil"/>
              <w:left w:val="nil"/>
              <w:bottom w:val="nil"/>
              <w:right w:val="nil"/>
            </w:tcBorders>
            <w:shd w:val="clear" w:color="auto" w:fill="auto"/>
            <w:vAlign w:val="bottom"/>
          </w:tcPr>
          <w:p>
            <w:pPr>
              <w:widowControl/>
              <w:jc w:val="center"/>
              <w:rPr>
                <w:rFonts w:ascii="仿宋_GB2312" w:hAnsi="宋体" w:eastAsia="仿宋_GB2312" w:cs="宋体"/>
                <w:color w:val="000000"/>
                <w:kern w:val="0"/>
                <w:sz w:val="24"/>
              </w:rPr>
            </w:pPr>
          </w:p>
        </w:tc>
        <w:tc>
          <w:tcPr>
            <w:tcW w:w="236" w:type="dxa"/>
            <w:tcBorders>
              <w:top w:val="nil"/>
              <w:left w:val="nil"/>
              <w:bottom w:val="nil"/>
              <w:right w:val="nil"/>
            </w:tcBorders>
            <w:shd w:val="clear" w:color="auto" w:fill="auto"/>
            <w:vAlign w:val="bottom"/>
          </w:tcPr>
          <w:p>
            <w:pPr>
              <w:widowControl/>
              <w:jc w:val="center"/>
              <w:rPr>
                <w:rFonts w:ascii="仿宋_GB2312" w:hAnsi="宋体" w:eastAsia="仿宋_GB2312" w:cs="宋体"/>
                <w:color w:val="000000"/>
                <w:kern w:val="0"/>
                <w:sz w:val="24"/>
              </w:rPr>
            </w:pPr>
          </w:p>
        </w:tc>
      </w:tr>
      <w:tr>
        <w:tblPrEx>
          <w:tblLayout w:type="fixed"/>
          <w:tblCellMar>
            <w:top w:w="0" w:type="dxa"/>
            <w:left w:w="108" w:type="dxa"/>
            <w:bottom w:w="0" w:type="dxa"/>
            <w:right w:w="108" w:type="dxa"/>
          </w:tblCellMar>
        </w:tblPrEx>
        <w:trPr>
          <w:trHeight w:val="657"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序号</w:t>
            </w:r>
          </w:p>
        </w:tc>
        <w:tc>
          <w:tcPr>
            <w:tcW w:w="274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医疗机构名称</w:t>
            </w:r>
          </w:p>
        </w:tc>
        <w:tc>
          <w:tcPr>
            <w:tcW w:w="460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地址</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机构级别</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机构类别</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医保服务范围</w:t>
            </w:r>
          </w:p>
        </w:tc>
      </w:tr>
      <w:tr>
        <w:tblPrEx>
          <w:tblLayout w:type="fixed"/>
          <w:tblCellMar>
            <w:top w:w="0" w:type="dxa"/>
            <w:left w:w="108" w:type="dxa"/>
            <w:bottom w:w="0" w:type="dxa"/>
            <w:right w:w="108" w:type="dxa"/>
          </w:tblCellMar>
        </w:tblPrEx>
        <w:trPr>
          <w:trHeight w:val="827"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1</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沙坪坝冉李晋口腔诊所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沙坪坝区西盛路37号附3号2-9、2-10号</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839"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2</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沙坪坝区肖莉中医诊所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重庆市沙坪坝区中梁镇中兴路83-1号</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979"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3</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沙坪坝区刘茂宏中西医结合诊所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沙坪坝区双碑九重锦商业街3号14-2</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977"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4</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沙坪坝杨青青口腔诊所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沙坪坝区都市花园西路101-4号二楼</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705"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5</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沙坪坝区朱玥诊所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沙坪坝区丰裕路10号附3号</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844"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6</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沙坪坝区邓宁口腔诊所</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沙坪区天星桥街道晒光坪52-21号</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r>
        <w:tblPrEx>
          <w:tblLayout w:type="fixed"/>
          <w:tblCellMar>
            <w:top w:w="0" w:type="dxa"/>
            <w:left w:w="108" w:type="dxa"/>
            <w:bottom w:w="0" w:type="dxa"/>
            <w:right w:w="108" w:type="dxa"/>
          </w:tblCellMar>
        </w:tblPrEx>
        <w:trPr>
          <w:trHeight w:val="844" w:hRule="atLeast"/>
          <w:jc w:val="center"/>
        </w:trPr>
        <w:tc>
          <w:tcPr>
            <w:tcW w:w="8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7</w:t>
            </w:r>
          </w:p>
        </w:tc>
        <w:tc>
          <w:tcPr>
            <w:tcW w:w="274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沙坪坝区金龙口腔门诊部</w:t>
            </w:r>
          </w:p>
        </w:tc>
        <w:tc>
          <w:tcPr>
            <w:tcW w:w="4600"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重庆市沙坪坝区永祥路81号附21号</w:t>
            </w:r>
          </w:p>
        </w:tc>
        <w:tc>
          <w:tcPr>
            <w:tcW w:w="73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lang w:eastAsia="zh-CN"/>
              </w:rPr>
            </w:pPr>
            <w:r>
              <w:rPr>
                <w:rFonts w:hint="default" w:ascii="Times New Roman" w:hAnsi="Times New Roman" w:eastAsia="方正仿宋_GBK" w:cs="Times New Roman"/>
                <w:kern w:val="0"/>
                <w:sz w:val="22"/>
                <w:szCs w:val="22"/>
                <w:lang w:eastAsia="zh-CN"/>
              </w:rPr>
              <w:t>无</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诊所</w:t>
            </w:r>
          </w:p>
        </w:tc>
        <w:tc>
          <w:tcPr>
            <w:tcW w:w="201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限普通</w:t>
            </w:r>
          </w:p>
          <w:p>
            <w:pPr>
              <w:widowControl/>
              <w:jc w:val="center"/>
              <w:rPr>
                <w:rFonts w:hint="default" w:ascii="Times New Roman" w:hAnsi="Times New Roman" w:eastAsia="方正仿宋_GBK" w:cs="Times New Roman"/>
                <w:kern w:val="0"/>
                <w:sz w:val="22"/>
                <w:szCs w:val="22"/>
              </w:rPr>
            </w:pPr>
            <w:r>
              <w:rPr>
                <w:rFonts w:hint="default" w:ascii="Times New Roman" w:hAnsi="Times New Roman" w:eastAsia="方正仿宋_GBK" w:cs="Times New Roman"/>
                <w:kern w:val="0"/>
                <w:sz w:val="22"/>
                <w:szCs w:val="22"/>
              </w:rPr>
              <w:t>门诊</w:t>
            </w:r>
          </w:p>
        </w:tc>
      </w:tr>
    </w:tbl>
    <w:p>
      <w:pPr>
        <w:widowControl/>
        <w:jc w:val="left"/>
        <w:rPr>
          <w:rFonts w:hint="eastAsia" w:ascii="方正仿宋_GBK" w:hAnsi="宋体" w:eastAsia="方正仿宋_GBK" w:cs="宋体"/>
          <w:kern w:val="0"/>
          <w:sz w:val="24"/>
        </w:rPr>
      </w:pPr>
    </w:p>
    <w:tbl>
      <w:tblPr>
        <w:tblStyle w:val="10"/>
        <w:tblW w:w="12751" w:type="dxa"/>
        <w:jc w:val="center"/>
        <w:tblInd w:w="0" w:type="dxa"/>
        <w:tblLayout w:type="fixed"/>
        <w:tblCellMar>
          <w:top w:w="0" w:type="dxa"/>
          <w:left w:w="108" w:type="dxa"/>
          <w:bottom w:w="0" w:type="dxa"/>
          <w:right w:w="108" w:type="dxa"/>
        </w:tblCellMar>
      </w:tblPr>
      <w:tblGrid>
        <w:gridCol w:w="801"/>
        <w:gridCol w:w="6687"/>
        <w:gridCol w:w="5263"/>
      </w:tblGrid>
      <w:tr>
        <w:tblPrEx>
          <w:tblLayout w:type="fixed"/>
          <w:tblCellMar>
            <w:top w:w="0" w:type="dxa"/>
            <w:left w:w="108" w:type="dxa"/>
            <w:bottom w:w="0" w:type="dxa"/>
            <w:right w:w="108" w:type="dxa"/>
          </w:tblCellMar>
        </w:tblPrEx>
        <w:trPr>
          <w:gridAfter w:val="1"/>
          <w:wAfter w:w="5263" w:type="dxa"/>
          <w:trHeight w:val="90" w:hRule="atLeast"/>
          <w:jc w:val="center"/>
        </w:trPr>
        <w:tc>
          <w:tcPr>
            <w:tcW w:w="7488" w:type="dxa"/>
            <w:gridSpan w:val="2"/>
            <w:tcBorders>
              <w:top w:val="nil"/>
              <w:left w:val="nil"/>
              <w:bottom w:val="nil"/>
              <w:right w:val="nil"/>
            </w:tcBorders>
            <w:shd w:val="clear" w:color="auto" w:fill="auto"/>
            <w:vAlign w:val="center"/>
          </w:tcPr>
          <w:p>
            <w:pPr>
              <w:widowControl/>
              <w:jc w:val="left"/>
              <w:rPr>
                <w:rFonts w:hint="eastAsia"/>
              </w:rPr>
            </w:pPr>
          </w:p>
          <w:p>
            <w:pPr>
              <w:widowControl/>
              <w:jc w:val="left"/>
              <w:rPr>
                <w:rFonts w:hint="eastAsia"/>
              </w:rPr>
            </w:pPr>
          </w:p>
          <w:p>
            <w:pPr>
              <w:widowControl/>
              <w:jc w:val="left"/>
              <w:rPr>
                <w:rFonts w:hint="default"/>
              </w:rPr>
            </w:pPr>
            <w:r>
              <w:rPr>
                <w:rFonts w:hint="eastAsia"/>
              </w:rPr>
              <w:t>附件</w:t>
            </w:r>
            <w:r>
              <w:rPr>
                <w:rFonts w:hint="default"/>
              </w:rPr>
              <w:t>2</w:t>
            </w:r>
          </w:p>
          <w:p>
            <w:pPr>
              <w:pStyle w:val="2"/>
            </w:pPr>
          </w:p>
        </w:tc>
      </w:tr>
      <w:tr>
        <w:tblPrEx>
          <w:tblLayout w:type="fixed"/>
          <w:tblCellMar>
            <w:top w:w="0" w:type="dxa"/>
            <w:left w:w="108" w:type="dxa"/>
            <w:bottom w:w="0" w:type="dxa"/>
            <w:right w:w="108" w:type="dxa"/>
          </w:tblCellMar>
        </w:tblPrEx>
        <w:trPr>
          <w:trHeight w:val="725" w:hRule="exac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序号</w:t>
            </w:r>
          </w:p>
        </w:tc>
        <w:tc>
          <w:tcPr>
            <w:tcW w:w="66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药店名称</w:t>
            </w:r>
          </w:p>
        </w:tc>
        <w:tc>
          <w:tcPr>
            <w:tcW w:w="526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地址</w:t>
            </w:r>
          </w:p>
        </w:tc>
      </w:tr>
      <w:tr>
        <w:tblPrEx>
          <w:tblLayout w:type="fixed"/>
          <w:tblCellMar>
            <w:top w:w="0" w:type="dxa"/>
            <w:left w:w="108" w:type="dxa"/>
            <w:bottom w:w="0" w:type="dxa"/>
            <w:right w:w="108" w:type="dxa"/>
          </w:tblCellMar>
        </w:tblPrEx>
        <w:trPr>
          <w:trHeight w:val="492"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重庆德康阁荣烨大药房</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重庆市沙坪坝区文兴大道7号附44号</w:t>
            </w:r>
          </w:p>
        </w:tc>
      </w:tr>
      <w:tr>
        <w:tblPrEx>
          <w:tblLayout w:type="fixed"/>
          <w:tblCellMar>
            <w:top w:w="0" w:type="dxa"/>
            <w:left w:w="108" w:type="dxa"/>
            <w:bottom w:w="0" w:type="dxa"/>
            <w:right w:w="108" w:type="dxa"/>
          </w:tblCellMar>
        </w:tblPrEx>
        <w:trPr>
          <w:trHeight w:val="540"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重庆泉源堂大药房连锁有限责任公司西双大道店</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重庆市沙坪坝区西双大道20号附144号</w:t>
            </w:r>
          </w:p>
        </w:tc>
      </w:tr>
      <w:tr>
        <w:tblPrEx>
          <w:tblLayout w:type="fixed"/>
          <w:tblCellMar>
            <w:top w:w="0" w:type="dxa"/>
            <w:left w:w="108" w:type="dxa"/>
            <w:bottom w:w="0" w:type="dxa"/>
            <w:right w:w="108" w:type="dxa"/>
          </w:tblCellMar>
        </w:tblPrEx>
        <w:trPr>
          <w:trHeight w:val="567"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重庆鑫斛药房连锁有限公司鑫斛大药房紫荆花园店</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重庆市沙坪坝区天陈路31-14号</w:t>
            </w:r>
          </w:p>
        </w:tc>
      </w:tr>
      <w:tr>
        <w:tblPrEx>
          <w:tblLayout w:type="fixed"/>
          <w:tblCellMar>
            <w:top w:w="0" w:type="dxa"/>
            <w:left w:w="108" w:type="dxa"/>
            <w:bottom w:w="0" w:type="dxa"/>
            <w:right w:w="108" w:type="dxa"/>
          </w:tblCellMar>
        </w:tblPrEx>
        <w:trPr>
          <w:trHeight w:val="567"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4</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重庆鑫斛药房连锁有限公司鑫斛大药房富州新城店</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重庆市沙坪坝区富洲路5号附11号1-4</w:t>
            </w:r>
          </w:p>
        </w:tc>
      </w:tr>
      <w:tr>
        <w:tblPrEx>
          <w:tblLayout w:type="fixed"/>
          <w:tblCellMar>
            <w:top w:w="0" w:type="dxa"/>
            <w:left w:w="108" w:type="dxa"/>
            <w:bottom w:w="0" w:type="dxa"/>
            <w:right w:w="108" w:type="dxa"/>
          </w:tblCellMar>
        </w:tblPrEx>
        <w:trPr>
          <w:trHeight w:val="567"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重庆鑫斛药房连锁有限公司鑫斛大药房融汇温泉城店</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重庆市沙坪坝区荔枝桥13号附55号、附56号、附57号</w:t>
            </w:r>
          </w:p>
        </w:tc>
      </w:tr>
      <w:tr>
        <w:tblPrEx>
          <w:tblLayout w:type="fixed"/>
          <w:tblCellMar>
            <w:top w:w="0" w:type="dxa"/>
            <w:left w:w="108" w:type="dxa"/>
            <w:bottom w:w="0" w:type="dxa"/>
            <w:right w:w="108" w:type="dxa"/>
          </w:tblCellMar>
        </w:tblPrEx>
        <w:trPr>
          <w:trHeight w:val="567" w:hRule="atLeast"/>
          <w:jc w:val="center"/>
        </w:trPr>
        <w:tc>
          <w:tcPr>
            <w:tcW w:w="80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6</w:t>
            </w:r>
          </w:p>
        </w:tc>
        <w:tc>
          <w:tcPr>
            <w:tcW w:w="668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重庆健之佳健康药房连锁有限公司沙坪坝区文兴大道分店</w:t>
            </w:r>
          </w:p>
        </w:tc>
        <w:tc>
          <w:tcPr>
            <w:tcW w:w="526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重庆市沙坪坝区文兴大道7号附55号、54号</w:t>
            </w:r>
          </w:p>
        </w:tc>
      </w:tr>
      <w:tr>
        <w:tblPrEx>
          <w:tblLayout w:type="fixed"/>
          <w:tblCellMar>
            <w:top w:w="0" w:type="dxa"/>
            <w:left w:w="108" w:type="dxa"/>
            <w:bottom w:w="0" w:type="dxa"/>
            <w:right w:w="108" w:type="dxa"/>
          </w:tblCellMar>
        </w:tblPrEx>
        <w:trPr>
          <w:trHeight w:val="567" w:hRule="atLeast"/>
          <w:jc w:val="center"/>
        </w:trPr>
        <w:tc>
          <w:tcPr>
            <w:tcW w:w="801" w:type="dxa"/>
            <w:tcBorders>
              <w:top w:val="nil"/>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7</w:t>
            </w:r>
          </w:p>
        </w:tc>
        <w:tc>
          <w:tcPr>
            <w:tcW w:w="6687" w:type="dxa"/>
            <w:tcBorders>
              <w:top w:val="nil"/>
              <w:left w:val="nil"/>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重庆健之佳健康药房连锁有限公司沙坪坝区西盛路分店</w:t>
            </w:r>
          </w:p>
        </w:tc>
        <w:tc>
          <w:tcPr>
            <w:tcW w:w="5263"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重庆市沙坪坝区南方香榭里小区48号附17号</w:t>
            </w:r>
          </w:p>
        </w:tc>
      </w:tr>
      <w:tr>
        <w:tblPrEx>
          <w:tblLayout w:type="fixed"/>
          <w:tblCellMar>
            <w:top w:w="0" w:type="dxa"/>
            <w:left w:w="108" w:type="dxa"/>
            <w:bottom w:w="0" w:type="dxa"/>
            <w:right w:w="108" w:type="dxa"/>
          </w:tblCellMar>
        </w:tblPrEx>
        <w:trPr>
          <w:trHeight w:val="46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8</w:t>
            </w:r>
          </w:p>
        </w:tc>
        <w:tc>
          <w:tcPr>
            <w:tcW w:w="66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重庆市万和药房连锁有限公司沙坪坝区小龙坎新街店</w:t>
            </w:r>
          </w:p>
        </w:tc>
        <w:tc>
          <w:tcPr>
            <w:tcW w:w="52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重庆市沙坪坝区小龙坎新街3号附4号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9</w:t>
            </w:r>
          </w:p>
        </w:tc>
        <w:tc>
          <w:tcPr>
            <w:tcW w:w="6687" w:type="dxa"/>
            <w:tcBorders>
              <w:top w:val="single" w:color="auto" w:sz="4" w:space="0"/>
              <w:left w:val="nil"/>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重庆市万和药房连锁有限公司沙坪坝区香榭街二店</w:t>
            </w:r>
          </w:p>
        </w:tc>
        <w:tc>
          <w:tcPr>
            <w:tcW w:w="5263" w:type="dxa"/>
            <w:tcBorders>
              <w:top w:val="single" w:color="auto" w:sz="4" w:space="0"/>
              <w:left w:val="nil"/>
              <w:bottom w:val="nil"/>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重庆市沙坪坝区南方香榭里小区40号附4号、5号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10</w:t>
            </w:r>
          </w:p>
        </w:tc>
        <w:tc>
          <w:tcPr>
            <w:tcW w:w="66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重庆市万和药房连锁有限公司沙坪坝区泉景三路店</w:t>
            </w:r>
          </w:p>
        </w:tc>
        <w:tc>
          <w:tcPr>
            <w:tcW w:w="52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重庆市沙坪坝区泉景三路2号附35号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11</w:t>
            </w:r>
          </w:p>
        </w:tc>
        <w:tc>
          <w:tcPr>
            <w:tcW w:w="6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重庆康尼大药房有限责任公司</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重庆市沙坪坝区永青路21号附35号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w:t>
            </w:r>
          </w:p>
        </w:tc>
        <w:tc>
          <w:tcPr>
            <w:tcW w:w="6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重庆麒龙堂大药房</w:t>
            </w:r>
          </w:p>
        </w:tc>
        <w:tc>
          <w:tcPr>
            <w:tcW w:w="52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重庆市沙坪坝区工人村50-31号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13</w:t>
            </w:r>
          </w:p>
        </w:tc>
        <w:tc>
          <w:tcPr>
            <w:tcW w:w="6687" w:type="dxa"/>
            <w:tcBorders>
              <w:top w:val="single" w:color="auto" w:sz="4" w:space="0"/>
              <w:left w:val="nil"/>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重庆鑫斛药房连锁有限公司鑫斛大药房金色悦城二店</w:t>
            </w:r>
          </w:p>
        </w:tc>
        <w:tc>
          <w:tcPr>
            <w:tcW w:w="5263" w:type="dxa"/>
            <w:tcBorders>
              <w:top w:val="single" w:color="auto" w:sz="4" w:space="0"/>
              <w:left w:val="nil"/>
              <w:bottom w:val="nil"/>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重庆市沙坪坝区凤鸣山307号附47号、附48号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14</w:t>
            </w:r>
          </w:p>
        </w:tc>
        <w:tc>
          <w:tcPr>
            <w:tcW w:w="6687" w:type="dxa"/>
            <w:tcBorders>
              <w:top w:val="single" w:color="auto" w:sz="4" w:space="0"/>
              <w:left w:val="nil"/>
              <w:bottom w:val="nil"/>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重庆鑫斛药房连锁有限公司鑫斛大药房中昂嘉御湾店</w:t>
            </w:r>
          </w:p>
        </w:tc>
        <w:tc>
          <w:tcPr>
            <w:tcW w:w="5263" w:type="dxa"/>
            <w:tcBorders>
              <w:top w:val="single" w:color="auto" w:sz="4" w:space="0"/>
              <w:left w:val="nil"/>
              <w:bottom w:val="nil"/>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重庆市沙坪坝区中心湾86号附20号</w:t>
            </w:r>
          </w:p>
        </w:tc>
      </w:tr>
      <w:tr>
        <w:tblPrEx>
          <w:tblLayout w:type="fixed"/>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15</w:t>
            </w:r>
          </w:p>
        </w:tc>
        <w:tc>
          <w:tcPr>
            <w:tcW w:w="66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重庆万鑫药房连锁有限公司沙坪坝区沙滨路二店</w:t>
            </w:r>
          </w:p>
        </w:tc>
        <w:tc>
          <w:tcPr>
            <w:tcW w:w="52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重庆市沙坪坝区沙滨路58号附32号</w:t>
            </w:r>
          </w:p>
        </w:tc>
      </w:tr>
    </w:tbl>
    <w:p>
      <w:pPr>
        <w:rPr>
          <w:rFonts w:hint="default" w:ascii="Times New Roman" w:hAnsi="Times New Roman" w:eastAsia="方正仿宋简体" w:cs="Times New Roman"/>
          <w:sz w:val="21"/>
          <w:szCs w:val="21"/>
        </w:rPr>
        <w:sectPr>
          <w:footerReference r:id="rId4" w:type="default"/>
          <w:pgSz w:w="16838" w:h="11906" w:orient="landscape"/>
          <w:pgMar w:top="1701" w:right="1758" w:bottom="1588" w:left="1758" w:header="851" w:footer="992" w:gutter="0"/>
          <w:pgBorders>
            <w:top w:val="none" w:sz="0" w:space="0"/>
            <w:left w:val="none" w:sz="0" w:space="0"/>
            <w:bottom w:val="none" w:sz="0" w:space="0"/>
            <w:right w:val="none" w:sz="0" w:space="0"/>
          </w:pgBorders>
          <w:pgNumType w:fmt="decimalFullWidth" w:start="3"/>
          <w:cols w:space="425" w:num="1"/>
          <w:docGrid w:linePitch="312" w:charSpace="0"/>
        </w:sect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bl>
      <w:tblPr>
        <w:tblStyle w:val="11"/>
        <w:tblpPr w:leftFromText="180" w:rightFromText="180" w:vertAnchor="text" w:horzAnchor="page" w:tblpX="1158" w:tblpY="1049"/>
        <w:tblW w:w="934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4" w:hRule="exact"/>
          <w:jc w:val="center"/>
        </w:trPr>
        <w:tc>
          <w:tcPr>
            <w:tcW w:w="9340" w:type="dxa"/>
            <w:tcBorders>
              <w:top w:val="nil"/>
              <w:bottom w:val="single" w:color="auto" w:sz="4" w:space="0"/>
            </w:tcBorders>
          </w:tcPr>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方正仿宋_GBK" w:hAnsi="方正仿宋_GBK" w:eastAsia="方正仿宋_GBK" w:cs="方正仿宋_GBK"/>
                <w:spacing w:val="0"/>
                <w:sz w:val="32"/>
                <w:szCs w:val="32"/>
                <w:lang w:val="en-US" w:eastAsia="zh-CN"/>
              </w:rPr>
            </w:pPr>
          </w:p>
          <w:p>
            <w:pPr>
              <w:pStyle w:val="2"/>
              <w:rPr>
                <w:rFonts w:hint="eastAsia" w:ascii="方正仿宋_GBK" w:hAnsi="方正仿宋_GBK" w:eastAsia="方正仿宋_GBK" w:cs="方正仿宋_GBK"/>
                <w:spacing w:val="0"/>
                <w:sz w:val="32"/>
                <w:szCs w:val="32"/>
                <w:lang w:val="en-US" w:eastAsia="zh-CN"/>
              </w:rPr>
            </w:pPr>
          </w:p>
          <w:p>
            <w:pPr>
              <w:pStyle w:val="2"/>
              <w:rPr>
                <w:rFonts w:hint="eastAsia" w:ascii="方正仿宋_GBK" w:hAnsi="方正仿宋_GBK" w:eastAsia="方正仿宋_GBK" w:cs="方正仿宋_GBK"/>
                <w:spacing w:val="0"/>
                <w:sz w:val="32"/>
                <w:szCs w:val="32"/>
                <w:lang w:val="en-US" w:eastAsia="zh-CN"/>
              </w:rPr>
            </w:pPr>
          </w:p>
          <w:p>
            <w:pPr>
              <w:pStyle w:val="2"/>
              <w:rPr>
                <w:rFonts w:hint="eastAsia" w:ascii="方正仿宋_GBK" w:hAnsi="方正仿宋_GBK" w:eastAsia="方正仿宋_GBK" w:cs="方正仿宋_GBK"/>
                <w:spacing w:val="0"/>
                <w:sz w:val="32"/>
                <w:szCs w:val="32"/>
                <w:lang w:val="en-US" w:eastAsia="zh-CN"/>
              </w:rPr>
            </w:pPr>
          </w:p>
          <w:p>
            <w:pPr>
              <w:pStyle w:val="2"/>
              <w:rPr>
                <w:rFonts w:hint="eastAsia" w:ascii="方正仿宋_GBK" w:hAnsi="方正仿宋_GBK" w:eastAsia="方正仿宋_GBK" w:cs="方正仿宋_GBK"/>
                <w:spacing w:val="0"/>
                <w:sz w:val="32"/>
                <w:szCs w:val="32"/>
                <w:lang w:val="en-US" w:eastAsia="zh-CN"/>
              </w:rPr>
            </w:pPr>
          </w:p>
          <w:p>
            <w:pPr>
              <w:pStyle w:val="2"/>
              <w:rPr>
                <w:rFonts w:hint="eastAsia" w:ascii="方正仿宋_GBK" w:hAnsi="方正仿宋_GBK" w:eastAsia="方正仿宋_GBK" w:cs="方正仿宋_GBK"/>
                <w:spacing w:val="0"/>
                <w:sz w:val="32"/>
                <w:szCs w:val="32"/>
                <w:lang w:val="en-US" w:eastAsia="zh-CN"/>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5" w:hRule="exact"/>
          <w:jc w:val="center"/>
        </w:trPr>
        <w:tc>
          <w:tcPr>
            <w:tcW w:w="9340" w:type="dxa"/>
            <w:tcBorders>
              <w:top w:val="single" w:color="auto" w:sz="4" w:space="0"/>
            </w:tcBorders>
          </w:tcPr>
          <w:p>
            <w:pPr>
              <w:tabs>
                <w:tab w:val="left" w:pos="1580"/>
              </w:tabs>
              <w:adjustRightInd w:val="0"/>
              <w:snapToGrid w:val="0"/>
              <w:spacing w:line="600" w:lineRule="exact"/>
              <w:ind w:firstLine="280" w:firstLineChars="100"/>
              <w:rPr>
                <w:rFonts w:hint="eastAsia" w:ascii="方正仿宋_GBK" w:hAnsi="方正仿宋_GBK" w:eastAsia="方正仿宋_GBK" w:cs="方正仿宋_GBK"/>
                <w:spacing w:val="0"/>
                <w:sz w:val="28"/>
                <w:szCs w:val="28"/>
              </w:rPr>
            </w:pPr>
            <w:r>
              <w:rPr>
                <w:rFonts w:hint="eastAsia" w:ascii="方正仿宋_GBK" w:hAnsi="方正仿宋_GBK" w:eastAsia="方正仿宋_GBK" w:cs="方正仿宋_GBK"/>
                <w:spacing w:val="0"/>
                <w:sz w:val="28"/>
                <w:szCs w:val="28"/>
              </w:rPr>
              <w:t>沙坪坝区</w:t>
            </w:r>
            <w:r>
              <w:rPr>
                <w:rFonts w:hint="eastAsia" w:ascii="方正仿宋_GBK" w:hAnsi="方正仿宋_GBK" w:eastAsia="方正仿宋_GBK" w:cs="方正仿宋_GBK"/>
                <w:spacing w:val="0"/>
                <w:sz w:val="28"/>
                <w:szCs w:val="28"/>
                <w:lang w:eastAsia="zh-CN"/>
              </w:rPr>
              <w:t>医疗保障事务中心综合管理科</w:t>
            </w:r>
            <w:r>
              <w:rPr>
                <w:rFonts w:hint="eastAsia" w:ascii="方正仿宋简体" w:eastAsia="方正仿宋简体"/>
                <w:spacing w:val="0"/>
                <w:sz w:val="28"/>
                <w:szCs w:val="28"/>
                <w:lang w:val="en-US" w:eastAsia="zh-CN"/>
              </w:rPr>
              <w:t xml:space="preserve">     </w:t>
            </w:r>
            <w:r>
              <w:rPr>
                <w:rFonts w:hint="default" w:ascii="Times New Roman" w:hAnsi="Times New Roman" w:eastAsia="方正仿宋_GBK" w:cs="Times New Roman"/>
                <w:spacing w:val="0"/>
                <w:sz w:val="28"/>
                <w:szCs w:val="28"/>
              </w:rPr>
              <w:t>20</w:t>
            </w:r>
            <w:r>
              <w:rPr>
                <w:rFonts w:hint="default" w:ascii="Times New Roman" w:hAnsi="Times New Roman" w:eastAsia="方正仿宋_GBK" w:cs="Times New Roman"/>
                <w:spacing w:val="0"/>
                <w:sz w:val="28"/>
                <w:szCs w:val="28"/>
                <w:lang w:val="en-US" w:eastAsia="zh-CN"/>
              </w:rPr>
              <w:t>21</w:t>
            </w:r>
            <w:r>
              <w:rPr>
                <w:rFonts w:hint="default" w:ascii="Times New Roman" w:hAnsi="Times New Roman" w:eastAsia="方正仿宋_GBK" w:cs="Times New Roman"/>
                <w:spacing w:val="0"/>
                <w:sz w:val="28"/>
                <w:szCs w:val="28"/>
              </w:rPr>
              <w:t>年</w:t>
            </w:r>
            <w:r>
              <w:rPr>
                <w:rFonts w:hint="eastAsia" w:ascii="Times New Roman" w:hAnsi="Times New Roman" w:cs="Times New Roman"/>
                <w:spacing w:val="0"/>
                <w:sz w:val="28"/>
                <w:szCs w:val="28"/>
                <w:lang w:val="en-US" w:eastAsia="zh-CN"/>
              </w:rPr>
              <w:t>8</w:t>
            </w:r>
            <w:r>
              <w:rPr>
                <w:rFonts w:hint="eastAsia" w:ascii="方正仿宋_GBK" w:hAnsi="方正仿宋_GBK" w:eastAsia="方正仿宋_GBK" w:cs="方正仿宋_GBK"/>
                <w:spacing w:val="0"/>
                <w:sz w:val="28"/>
                <w:szCs w:val="28"/>
              </w:rPr>
              <w:t>月</w:t>
            </w:r>
            <w:r>
              <w:rPr>
                <w:rFonts w:hint="eastAsia" w:ascii="Times New Roman" w:hAnsi="Times New Roman" w:cs="Times New Roman"/>
                <w:spacing w:val="0"/>
                <w:sz w:val="28"/>
                <w:szCs w:val="28"/>
                <w:lang w:val="en-US" w:eastAsia="zh-CN"/>
              </w:rPr>
              <w:t>26</w:t>
            </w:r>
            <w:r>
              <w:rPr>
                <w:rFonts w:hint="eastAsia" w:ascii="方正仿宋_GBK" w:hAnsi="方正仿宋_GBK" w:eastAsia="方正仿宋_GBK" w:cs="方正仿宋_GBK"/>
                <w:spacing w:val="0"/>
                <w:sz w:val="28"/>
                <w:szCs w:val="28"/>
              </w:rPr>
              <w:t>日印发</w:t>
            </w:r>
          </w:p>
          <w:p>
            <w:pPr>
              <w:tabs>
                <w:tab w:val="left" w:pos="1580"/>
              </w:tabs>
              <w:adjustRightInd w:val="0"/>
              <w:snapToGrid w:val="0"/>
              <w:spacing w:line="600" w:lineRule="exact"/>
              <w:ind w:firstLine="320" w:firstLineChars="100"/>
              <w:rPr>
                <w:rFonts w:hint="eastAsia" w:ascii="方正仿宋_GBK" w:hAnsi="方正仿宋_GBK" w:eastAsia="方正仿宋_GBK" w:cs="方正仿宋_GBK"/>
                <w:spacing w:val="0"/>
                <w:sz w:val="32"/>
                <w:szCs w:val="32"/>
              </w:rPr>
            </w:pPr>
          </w:p>
        </w:tc>
      </w:tr>
    </w:tbl>
    <w:p>
      <w:pPr>
        <w:pStyle w:val="2"/>
        <w:rPr>
          <w:rFonts w:hint="default"/>
        </w:rPr>
      </w:pPr>
    </w:p>
    <w:p>
      <w:pPr>
        <w:pStyle w:val="2"/>
        <w:ind w:left="0" w:leftChars="0" w:firstLine="0" w:firstLineChars="0"/>
        <w:rPr>
          <w:rFonts w:hint="default"/>
        </w:rPr>
      </w:pPr>
    </w:p>
    <w:sectPr>
      <w:footerReference r:id="rId5" w:type="default"/>
      <w:pgSz w:w="11906" w:h="16838"/>
      <w:pgMar w:top="1757" w:right="1588" w:bottom="1757" w:left="1701" w:header="851" w:footer="992" w:gutter="0"/>
      <w:pgBorders>
        <w:top w:val="none" w:sz="0" w:space="0"/>
        <w:left w:val="none" w:sz="0" w:space="0"/>
        <w:bottom w:val="none" w:sz="0" w:space="0"/>
        <w:right w:val="none" w:sz="0" w:space="0"/>
      </w:pgBorders>
      <w:pgNumType w:fmt="decimalFullWidth" w:start="6"/>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635" cy="2051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635" cy="205105"/>
                      </a:xfrm>
                      <a:prstGeom prst="rect">
                        <a:avLst/>
                      </a:prstGeom>
                      <a:noFill/>
                      <a:ln w="952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upright="0">
                      <a:noAutofit/>
                    </wps:bodyPr>
                  </wps:wsp>
                </a:graphicData>
              </a:graphic>
            </wp:anchor>
          </w:drawing>
        </mc:Choice>
        <mc:Fallback>
          <w:pict>
            <v:shape id="_x0000_s1026" o:spid="_x0000_s1026" o:spt="202" type="#_x0000_t202" style="position:absolute;left:0pt;margin-top:0pt;height:16.15pt;width:60.05pt;mso-position-horizontal:outside;mso-position-horizontal-relative:margin;z-index:251659264;mso-width-relative:page;mso-height-relative:page;" filled="f" stroked="f" coordsize="21600,21600" o:gfxdata="UEsDBAoAAAAAAIdO4kAAAAAAAAAAAAAAAAAEAAAAZHJzL1BLAwQUAAAACACHTuJA6tNz7NQAAAAE&#10;AQAADwAAAGRycy9kb3ducmV2LnhtbE2PzU7DMBCE70i8g7VI3KidVKogxKkQghMSIg0Hjpt4m1iN&#10;1yF2f3h7XC70stJoRjPfluuTG8WB5mA9a8gWCgRx543lXsNn83p3DyJEZIOjZ9LwQwHW1fVViYXx&#10;R67psIm9SCUcCtQwxDgVUoZuIIdh4Sfi5G397DAmOffSzHhM5W6UuVIr6dByWhhwoueBut1m7zQ8&#10;fXH9Yr/f2496W9umeVD8ttppfXuTqUcQkU7xPwxn/IQOVWJq/Z5NEKOG9Ej8u2cvVxmIVsMyX4Ks&#10;SnkJX/0CUEsDBBQAAAAIAIdO4kC15t/lywEAAGsDAAAOAAAAZHJzL2Uyb0RvYy54bWytU8GO0zAQ&#10;vSPxD5bvNGlQCkRNV6DVIiQESAsf4Dp2Y8n2GNttUj4A/oATF+77Xf0Oxk7aXS03xMUZz4zfvDcz&#10;WV+NRpOD8EGBbelyUVIiLIdO2V1Lv3y+efaSkhCZ7ZgGK1p6FIFebZ4+WQ+uERX0oDvhCYLY0Ayu&#10;pX2MrimKwHthWFiAExaDErxhEa9+V3SeDYhudFGV5aoYwHfOAxchoPd6CtJNxpdS8PhRyiAi0S1F&#10;bjGfPp/bdBabNWt2nrle8ZkG+wcWhimLRS9Q1ywysvfqLyijuIcAMi44mAKkVFxkDahmWT5Sc9sz&#10;J7IWbE5wlzaF/wfLPxw+eaI6nB0llhkc0ennj9Ovu9Pv72SZ2jO40GDWrcO8OL6BMaXO/oDOpHqU&#10;3qQv6iEYx0YfL80VYyQcnS9W1ep5TQnHUFXWy7JOKMX9Y+dDfCvAkGS01OPsckvZ4X2IU+o5JdWy&#10;cKO0Rj9rtCVDS1/VVZ0fXCIIri3WSBImqsmK43ac+W+hO6Is3F8s2IP/RsmAu9DS8HXPvKBEv7PY&#10;7LQ4Z8Ofje3ZYJbj05ZGSvbOq12fl2yi+HofQarMPpWe6s2McKJZ/7x9aWUe3nPW/T+y+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q03Ps1AAAAAQBAAAPAAAAAAAAAAEAIAAAACIAAABkcnMvZG93&#10;bnJldi54bWxQSwECFAAUAAAACACHTuJAtebf5csBAABrAwAADgAAAAAAAAABACAAAAAjAQAAZHJz&#10;L2Uyb0RvYy54bWxQSwUGAAAAAAYABgBZAQAAYAUAAAAA&#10;">
              <v:fill on="f" focussize="0,0"/>
              <v:stroke on="f"/>
              <v:imagedata o:title=""/>
              <o:lock v:ext="edit" aspectratio="f"/>
              <v:textbox inset="0mm,0mm,0mm,0mm">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-209550</wp:posOffset>
              </wp:positionV>
              <wp:extent cx="8477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47725" cy="1828800"/>
                      </a:xfrm>
                      <a:prstGeom prst="rect">
                        <a:avLst/>
                      </a:prstGeom>
                      <a:noFill/>
                      <a:ln w="9525">
                        <a:noFill/>
                      </a:ln>
                    </wps:spPr>
                    <wps:txbx>
                      <w:txbxContent>
                        <w:p>
                          <w:pPr>
                            <w:pStyle w:val="6"/>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３</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16.5pt;height:144pt;width:66.75pt;mso-position-horizontal:outside;mso-position-horizontal-relative:margin;z-index:251660288;mso-width-relative:page;mso-height-relative:page;" filled="f" stroked="f" coordsize="21600,21600" o:gfxdata="UEsDBAoAAAAAAIdO4kAAAAAAAAAAAAAAAAAEAAAAZHJzL1BLAwQUAAAACACHTuJAZE8AgtUAAAAI&#10;AQAADwAAAGRycy9kb3ducmV2LnhtbE2PMU/DMBCFdyT+g3VILKi1kygVhFw6IFjYKCxsbnwkEfY5&#10;it0k9NfjTrC90zu99716vzorZprC4Bkh2yoQxK03A3cIH+8vm3sQIWo22nomhB8KsG+ur2pdGb/w&#10;G82H2IkUwqHSCH2MYyVlaHtyOmz9SJy8Lz85HdM5ddJMeknhzspcqZ10euDU0OuRnnpqvw8nh7Bb&#10;n8e71wfKl3NrZ/48Z1mkDPH2JlOPICKt8e8ZLvgJHZrEdPQnNkFYhDQkImyKIomLXRQliCNCXpYK&#10;ZFPL/wOaX1BLAwQUAAAACACHTuJADMAJQswBAABsAwAADgAAAGRycy9lMm9Eb2MueG1srVNLbtsw&#10;EN0XyB2I2ceShaRRBdNBiyBFgaItkPYANEVZBPgLSVtyD9DeoKtuus+5fI4OactJ2l3RDTXk/N57&#10;M1pcj1qRrfBBWkNhPiuBCMNtK82awpfPt+c1kBCZaZmyRlDYiQDXy7MXi8E1orK9Va3wBIuY0AyO&#10;Qh+ja4oi8F5oFmbWCYPOznrNIl79umg9G7C6VkVVli+LwfrWectFCPh6c3DCMtfvOsHjx64LIhJF&#10;AbHFfPp8rtJZLBesWXvmesmPMNg/oNBMGmx6KnXDIiMbL/8qpSX3NtguzrjVhe06yUXmgGzm5R9s&#10;7nrmROaC4gR3kin8v7L8w/aTJ7KlUAExTOOI9j++738+7H99I1WSZ3Chwag7h3FxfGNHHPP0HvAx&#10;sR47r9MX+RD0o9C7k7hijITjY31xdVVdAuHomtdVXZdZ/eIx2/kQ3wqrSTIoeBxe1pRt34eISDB0&#10;CknNjL2VSuUBKkMGCq8usf4zD2Yog4mJwwFrsuK4Go/EVrbdIS9cYGzYW/8VyIDLQCHcb5gXQNQ7&#10;g2qnzZkMPxmryWCGYyqFCGTjvFz3ecsSkOBebyLCzOhT60O/IyIcaSZ1XL+0M0/vOerxJ1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RPAILVAAAACAEAAA8AAAAAAAAAAQAgAAAAIgAAAGRycy9k&#10;b3ducmV2LnhtbFBLAQIUABQAAAAIAIdO4kAMwAlCzAEAAGwDAAAOAAAAAAAAAAEAIAAAACQBAABk&#10;cnMvZTJvRG9jLnhtbFBLBQYAAAAABgAGAFkBAABiBQAAAAA=&#10;">
              <v:fill on="f" focussize="0,0"/>
              <v:stroke on="f"/>
              <v:imagedata o:title=""/>
              <o:lock v:ext="edit" aspectratio="f"/>
              <v:textbox inset="0mm,0mm,0mm,0mm" style="mso-fit-shape-to-text:t;">
                <w:txbxContent>
                  <w:p>
                    <w:pPr>
                      <w:pStyle w:val="6"/>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３</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-324485</wp:posOffset>
              </wp:positionV>
              <wp:extent cx="84772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47725" cy="1828800"/>
                      </a:xfrm>
                      <a:prstGeom prst="rect">
                        <a:avLst/>
                      </a:prstGeom>
                      <a:noFill/>
                      <a:ln w="9525">
                        <a:noFill/>
                      </a:ln>
                    </wps:spPr>
                    <wps:txbx>
                      <w:txbxContent>
                        <w:p>
                          <w:pPr>
                            <w:pStyle w:val="6"/>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３</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5.55pt;height:144pt;width:66.75pt;mso-position-horizontal:outside;mso-position-horizontal-relative:margin;z-index:251661312;mso-width-relative:page;mso-height-relative:page;" filled="f" stroked="f" coordsize="21600,21600" o:gfxdata="UEsDBAoAAAAAAIdO4kAAAAAAAAAAAAAAAAAEAAAAZHJzL1BLAwQUAAAACACHTuJAmE8AOdYAAAAI&#10;AQAADwAAAGRycy9kb3ducmV2LnhtbE2PMU/DMBSEdyT+g/UqsaDWcaJGNOSlA4KFjdKFzY0fSdT4&#10;OYrdJPTX404wnu509125X2wvJhp95xhBbRIQxLUzHTcIx8+39RMIHzQb3TsmhB/ysK/u70pdGDfz&#10;B02H0IhYwr7QCG0IQyGlr1uy2m/cQBy9bzdaHaIcG2lGPcdy28s0SXJpdcdxodUDvbRUnw8Xi5Av&#10;r8Pj+47S+Vr3E39dlQqkEB9WKnkGEWgJf2G44Ud0qCLTyV3YeNEjxCMBYb1VCsTNzrItiBNCmuU7&#10;kFUp/x+ofgFQSwMEFAAAAAgAh07iQPx1VJbKAQAAbAMAAA4AAABkcnMvZTJvRG9jLnhtbK1TS44T&#10;MRDdI3EHy3vSnYgwTSvOCDQahIQAaeAAjttOW/KPspPucAC4ASs27OdcOQdlJ53hs0Ns3GXX771X&#10;1avr0RqylxC1d4zOZzUl0gnfabdl9OOH2ycNJTFx13HjnWT0ICO9Xj9+tBpCKxe+96aTQLCIi+0Q&#10;GO1TCm1VRdFLy+PMB+nQqTxYnvAK26oDPmB1a6pFXT+rBg9dAC9kjPh6c3LSdamvlBTpnVJRJmIY&#10;RWypnFDOTT6r9Yq3W+Ch1+IMg/8DCsu1w6aXUjc8cbID/VcpqwX46FWaCW8rr5QWsnBANvP6DzZ3&#10;PQ+ycEFxYrjIFP9fWfF2/x6I7hhdUuK4xREdv309fr8//vhCllmeIcQWo+4CxqXxpR9xzNN7xMfM&#10;elRg8xf5EPSj0IeLuHJMROBj8/TqaoFNBLrmzaJp6qJ+9ZAdIKZX0luSDUYBh1c05fs3MSESDJ1C&#10;cjPnb7UxZYDGkYHR50us/5sHM4zDxMzhhDVbadyMZ2Ib3x2QFy4wNuw9fKZkwGVgNH7acZCUmNcO&#10;1c6bMxkwGZvJ4E5gKqOJkl0Ave3LlmUgMbzYJYRZ0OfWp35nRDjSQuq8fnlnfr2XqIefZP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E8AOdYAAAAIAQAADwAAAAAAAAABACAAAAAiAAAAZHJzL2Rv&#10;d25yZXYueG1sUEsBAhQAFAAAAAgAh07iQPx1VJbKAQAAbAMAAA4AAAAAAAAAAQAgAAAAJQEAAGRy&#10;cy9lMm9Eb2MueG1sUEsFBgAAAAAGAAYAWQEAAGEFAAAAAA==&#10;">
              <v:fill on="f" focussize="0,0"/>
              <v:stroke on="f"/>
              <v:imagedata o:title=""/>
              <o:lock v:ext="edit" aspectratio="f"/>
              <v:textbox inset="0mm,0mm,0mm,0mm" style="mso-fit-shape-to-text:t;">
                <w:txbxContent>
                  <w:p>
                    <w:pPr>
                      <w:pStyle w:val="6"/>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３</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73"/>
  <w:drawingGridVerticalSpacing w:val="30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9E"/>
    <w:rsid w:val="000018A9"/>
    <w:rsid w:val="0000495E"/>
    <w:rsid w:val="00013376"/>
    <w:rsid w:val="0001679A"/>
    <w:rsid w:val="000200BE"/>
    <w:rsid w:val="000209F4"/>
    <w:rsid w:val="00022B17"/>
    <w:rsid w:val="0005233A"/>
    <w:rsid w:val="000550DF"/>
    <w:rsid w:val="00072399"/>
    <w:rsid w:val="000775F5"/>
    <w:rsid w:val="0008254A"/>
    <w:rsid w:val="000A3DBC"/>
    <w:rsid w:val="000A784F"/>
    <w:rsid w:val="000B0F8C"/>
    <w:rsid w:val="000D6335"/>
    <w:rsid w:val="000F1D3D"/>
    <w:rsid w:val="000F611A"/>
    <w:rsid w:val="00145F06"/>
    <w:rsid w:val="0015352B"/>
    <w:rsid w:val="00154641"/>
    <w:rsid w:val="001675CD"/>
    <w:rsid w:val="0017135A"/>
    <w:rsid w:val="0017370E"/>
    <w:rsid w:val="0017733A"/>
    <w:rsid w:val="001843FD"/>
    <w:rsid w:val="00186D6E"/>
    <w:rsid w:val="00186FE9"/>
    <w:rsid w:val="00196B22"/>
    <w:rsid w:val="00197720"/>
    <w:rsid w:val="001A40BA"/>
    <w:rsid w:val="001A58B9"/>
    <w:rsid w:val="001D16D3"/>
    <w:rsid w:val="001D57F1"/>
    <w:rsid w:val="001E04A5"/>
    <w:rsid w:val="001E43D0"/>
    <w:rsid w:val="001F63D0"/>
    <w:rsid w:val="002166D4"/>
    <w:rsid w:val="002231CF"/>
    <w:rsid w:val="00224231"/>
    <w:rsid w:val="002253F3"/>
    <w:rsid w:val="0023160E"/>
    <w:rsid w:val="00234253"/>
    <w:rsid w:val="00235DE4"/>
    <w:rsid w:val="00250107"/>
    <w:rsid w:val="002615AF"/>
    <w:rsid w:val="00284ACF"/>
    <w:rsid w:val="00286417"/>
    <w:rsid w:val="002A4BDC"/>
    <w:rsid w:val="002B7049"/>
    <w:rsid w:val="002C10AC"/>
    <w:rsid w:val="002C13B9"/>
    <w:rsid w:val="002C711F"/>
    <w:rsid w:val="002D0888"/>
    <w:rsid w:val="002D6F57"/>
    <w:rsid w:val="002E0C09"/>
    <w:rsid w:val="002F1F20"/>
    <w:rsid w:val="002F27D2"/>
    <w:rsid w:val="002F6D16"/>
    <w:rsid w:val="003170C9"/>
    <w:rsid w:val="003370BE"/>
    <w:rsid w:val="00337BC8"/>
    <w:rsid w:val="00351DE0"/>
    <w:rsid w:val="00371B06"/>
    <w:rsid w:val="00374151"/>
    <w:rsid w:val="003C1EEA"/>
    <w:rsid w:val="003E3A9F"/>
    <w:rsid w:val="004031E2"/>
    <w:rsid w:val="00403CD6"/>
    <w:rsid w:val="00407B5A"/>
    <w:rsid w:val="0043798F"/>
    <w:rsid w:val="00440D39"/>
    <w:rsid w:val="004424E7"/>
    <w:rsid w:val="00446E16"/>
    <w:rsid w:val="00456116"/>
    <w:rsid w:val="00465B19"/>
    <w:rsid w:val="00467D53"/>
    <w:rsid w:val="0048495D"/>
    <w:rsid w:val="004B2CFB"/>
    <w:rsid w:val="004B3687"/>
    <w:rsid w:val="004E1000"/>
    <w:rsid w:val="004E17D8"/>
    <w:rsid w:val="004E3F2B"/>
    <w:rsid w:val="004F5036"/>
    <w:rsid w:val="004F5E89"/>
    <w:rsid w:val="004F6F70"/>
    <w:rsid w:val="0050239B"/>
    <w:rsid w:val="00522E92"/>
    <w:rsid w:val="00524EDC"/>
    <w:rsid w:val="00554FAF"/>
    <w:rsid w:val="005632C8"/>
    <w:rsid w:val="00564091"/>
    <w:rsid w:val="00570F31"/>
    <w:rsid w:val="00582989"/>
    <w:rsid w:val="005876D2"/>
    <w:rsid w:val="005942EB"/>
    <w:rsid w:val="005D1E93"/>
    <w:rsid w:val="005F056A"/>
    <w:rsid w:val="00600CFC"/>
    <w:rsid w:val="0060119E"/>
    <w:rsid w:val="00602049"/>
    <w:rsid w:val="00614D4E"/>
    <w:rsid w:val="00622875"/>
    <w:rsid w:val="00625A67"/>
    <w:rsid w:val="00640BBC"/>
    <w:rsid w:val="0064427C"/>
    <w:rsid w:val="00653C82"/>
    <w:rsid w:val="006744D6"/>
    <w:rsid w:val="006804D7"/>
    <w:rsid w:val="006951F8"/>
    <w:rsid w:val="006A5AA0"/>
    <w:rsid w:val="006B4A82"/>
    <w:rsid w:val="006C0277"/>
    <w:rsid w:val="006C0482"/>
    <w:rsid w:val="006E618F"/>
    <w:rsid w:val="006F07EF"/>
    <w:rsid w:val="006F3DF6"/>
    <w:rsid w:val="007130B7"/>
    <w:rsid w:val="0071522B"/>
    <w:rsid w:val="00736722"/>
    <w:rsid w:val="00740CA2"/>
    <w:rsid w:val="007435D4"/>
    <w:rsid w:val="0076309E"/>
    <w:rsid w:val="00780B63"/>
    <w:rsid w:val="00785572"/>
    <w:rsid w:val="0079454E"/>
    <w:rsid w:val="007C2191"/>
    <w:rsid w:val="007C69DA"/>
    <w:rsid w:val="007E5B59"/>
    <w:rsid w:val="007F1028"/>
    <w:rsid w:val="007F4173"/>
    <w:rsid w:val="00814433"/>
    <w:rsid w:val="0082674C"/>
    <w:rsid w:val="008417A7"/>
    <w:rsid w:val="008423F0"/>
    <w:rsid w:val="0086100B"/>
    <w:rsid w:val="008618A1"/>
    <w:rsid w:val="00882B5F"/>
    <w:rsid w:val="00891C3B"/>
    <w:rsid w:val="008924A1"/>
    <w:rsid w:val="0089602A"/>
    <w:rsid w:val="008C29A8"/>
    <w:rsid w:val="008D08CA"/>
    <w:rsid w:val="008E7243"/>
    <w:rsid w:val="008E7246"/>
    <w:rsid w:val="008F3544"/>
    <w:rsid w:val="008F68A6"/>
    <w:rsid w:val="00901BC8"/>
    <w:rsid w:val="00904960"/>
    <w:rsid w:val="009114D9"/>
    <w:rsid w:val="009315B2"/>
    <w:rsid w:val="0095678B"/>
    <w:rsid w:val="00961ED5"/>
    <w:rsid w:val="00970896"/>
    <w:rsid w:val="00975278"/>
    <w:rsid w:val="00984278"/>
    <w:rsid w:val="009B7074"/>
    <w:rsid w:val="009C5E45"/>
    <w:rsid w:val="009E0364"/>
    <w:rsid w:val="00A15C55"/>
    <w:rsid w:val="00A329E3"/>
    <w:rsid w:val="00A41E0F"/>
    <w:rsid w:val="00A44F42"/>
    <w:rsid w:val="00A45802"/>
    <w:rsid w:val="00A52924"/>
    <w:rsid w:val="00A53B1A"/>
    <w:rsid w:val="00A63415"/>
    <w:rsid w:val="00A7761E"/>
    <w:rsid w:val="00A92C3B"/>
    <w:rsid w:val="00AA0F05"/>
    <w:rsid w:val="00AB0231"/>
    <w:rsid w:val="00AB2F42"/>
    <w:rsid w:val="00AB5D3D"/>
    <w:rsid w:val="00AC5311"/>
    <w:rsid w:val="00AC7748"/>
    <w:rsid w:val="00AD6D9E"/>
    <w:rsid w:val="00AE517F"/>
    <w:rsid w:val="00AF21EF"/>
    <w:rsid w:val="00B0537B"/>
    <w:rsid w:val="00B13DC4"/>
    <w:rsid w:val="00B238B1"/>
    <w:rsid w:val="00B255F9"/>
    <w:rsid w:val="00B47E15"/>
    <w:rsid w:val="00B605FB"/>
    <w:rsid w:val="00B60B5C"/>
    <w:rsid w:val="00B6223A"/>
    <w:rsid w:val="00B734E4"/>
    <w:rsid w:val="00B741E0"/>
    <w:rsid w:val="00B85054"/>
    <w:rsid w:val="00BA0134"/>
    <w:rsid w:val="00BD2C18"/>
    <w:rsid w:val="00BE0AC8"/>
    <w:rsid w:val="00BF3D5B"/>
    <w:rsid w:val="00BF6FC3"/>
    <w:rsid w:val="00C10FD5"/>
    <w:rsid w:val="00C142B4"/>
    <w:rsid w:val="00C21021"/>
    <w:rsid w:val="00C2431B"/>
    <w:rsid w:val="00C54D53"/>
    <w:rsid w:val="00C60B29"/>
    <w:rsid w:val="00C63569"/>
    <w:rsid w:val="00C65261"/>
    <w:rsid w:val="00C77B92"/>
    <w:rsid w:val="00C82C08"/>
    <w:rsid w:val="00C84530"/>
    <w:rsid w:val="00C902C6"/>
    <w:rsid w:val="00C91452"/>
    <w:rsid w:val="00C9362E"/>
    <w:rsid w:val="00CB5063"/>
    <w:rsid w:val="00CC0533"/>
    <w:rsid w:val="00CD4EC8"/>
    <w:rsid w:val="00CE0231"/>
    <w:rsid w:val="00CF693F"/>
    <w:rsid w:val="00D51292"/>
    <w:rsid w:val="00D52E7D"/>
    <w:rsid w:val="00D547A2"/>
    <w:rsid w:val="00D732B1"/>
    <w:rsid w:val="00D80D56"/>
    <w:rsid w:val="00D9126F"/>
    <w:rsid w:val="00D92630"/>
    <w:rsid w:val="00DA0380"/>
    <w:rsid w:val="00DA2432"/>
    <w:rsid w:val="00DC0CB9"/>
    <w:rsid w:val="00DC401F"/>
    <w:rsid w:val="00DC43CD"/>
    <w:rsid w:val="00DC7E0E"/>
    <w:rsid w:val="00DD04D2"/>
    <w:rsid w:val="00DD69AA"/>
    <w:rsid w:val="00DF21D4"/>
    <w:rsid w:val="00DF7743"/>
    <w:rsid w:val="00DF7FC3"/>
    <w:rsid w:val="00E06DC1"/>
    <w:rsid w:val="00E20B3A"/>
    <w:rsid w:val="00E21861"/>
    <w:rsid w:val="00E42406"/>
    <w:rsid w:val="00E4367E"/>
    <w:rsid w:val="00E57171"/>
    <w:rsid w:val="00E64151"/>
    <w:rsid w:val="00E8140C"/>
    <w:rsid w:val="00E82D4E"/>
    <w:rsid w:val="00E83478"/>
    <w:rsid w:val="00E96F6B"/>
    <w:rsid w:val="00EA4207"/>
    <w:rsid w:val="00EA4446"/>
    <w:rsid w:val="00EB1346"/>
    <w:rsid w:val="00EB6E72"/>
    <w:rsid w:val="00EC6283"/>
    <w:rsid w:val="00ED1A0D"/>
    <w:rsid w:val="00ED49A1"/>
    <w:rsid w:val="00EE0B5C"/>
    <w:rsid w:val="00EF32F0"/>
    <w:rsid w:val="00EF728E"/>
    <w:rsid w:val="00F06371"/>
    <w:rsid w:val="00F134E5"/>
    <w:rsid w:val="00F232DB"/>
    <w:rsid w:val="00F3260A"/>
    <w:rsid w:val="00F35AC9"/>
    <w:rsid w:val="00F439F9"/>
    <w:rsid w:val="00F54882"/>
    <w:rsid w:val="00F6000E"/>
    <w:rsid w:val="00F64A59"/>
    <w:rsid w:val="00F71760"/>
    <w:rsid w:val="00F905C4"/>
    <w:rsid w:val="00F979F2"/>
    <w:rsid w:val="00FA4552"/>
    <w:rsid w:val="00FA7822"/>
    <w:rsid w:val="00FB0187"/>
    <w:rsid w:val="00FB24C6"/>
    <w:rsid w:val="00FC57C3"/>
    <w:rsid w:val="00FE49DF"/>
    <w:rsid w:val="00FF2CB3"/>
    <w:rsid w:val="00FF5CA8"/>
    <w:rsid w:val="03080ACA"/>
    <w:rsid w:val="03630C32"/>
    <w:rsid w:val="066E01FB"/>
    <w:rsid w:val="070F5051"/>
    <w:rsid w:val="071E06D4"/>
    <w:rsid w:val="07E04FE8"/>
    <w:rsid w:val="0BF166DE"/>
    <w:rsid w:val="0D6F3940"/>
    <w:rsid w:val="10634DD9"/>
    <w:rsid w:val="10EE1D4B"/>
    <w:rsid w:val="129F2AF7"/>
    <w:rsid w:val="15745EEC"/>
    <w:rsid w:val="1A375BD3"/>
    <w:rsid w:val="1B673970"/>
    <w:rsid w:val="1C362965"/>
    <w:rsid w:val="1E1B7F7F"/>
    <w:rsid w:val="21191199"/>
    <w:rsid w:val="214110BF"/>
    <w:rsid w:val="22274A09"/>
    <w:rsid w:val="23463948"/>
    <w:rsid w:val="292942C1"/>
    <w:rsid w:val="2B1260C4"/>
    <w:rsid w:val="2E384355"/>
    <w:rsid w:val="2EA70059"/>
    <w:rsid w:val="2F611648"/>
    <w:rsid w:val="2FB879EB"/>
    <w:rsid w:val="310747A0"/>
    <w:rsid w:val="31111C69"/>
    <w:rsid w:val="34A45ED5"/>
    <w:rsid w:val="384329FA"/>
    <w:rsid w:val="3A7E4ED5"/>
    <w:rsid w:val="3AF747E5"/>
    <w:rsid w:val="3B3771B1"/>
    <w:rsid w:val="40CA3673"/>
    <w:rsid w:val="41B9477F"/>
    <w:rsid w:val="42B31D34"/>
    <w:rsid w:val="45B2530D"/>
    <w:rsid w:val="46BF7117"/>
    <w:rsid w:val="48965315"/>
    <w:rsid w:val="4B480E80"/>
    <w:rsid w:val="4BB62B08"/>
    <w:rsid w:val="532272A2"/>
    <w:rsid w:val="5455323C"/>
    <w:rsid w:val="55076B26"/>
    <w:rsid w:val="5D34004F"/>
    <w:rsid w:val="621F2C33"/>
    <w:rsid w:val="62A81693"/>
    <w:rsid w:val="62AD2388"/>
    <w:rsid w:val="63EC23A6"/>
    <w:rsid w:val="646021C5"/>
    <w:rsid w:val="65A52159"/>
    <w:rsid w:val="673B230D"/>
    <w:rsid w:val="69BF1931"/>
    <w:rsid w:val="70B14E49"/>
    <w:rsid w:val="725E28D4"/>
    <w:rsid w:val="764121B9"/>
    <w:rsid w:val="76B86909"/>
    <w:rsid w:val="76F23E11"/>
    <w:rsid w:val="7A6E6660"/>
    <w:rsid w:val="7E9E4712"/>
    <w:rsid w:val="7F24072B"/>
    <w:rsid w:val="7FD0307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520" w:lineRule="atLeast"/>
      <w:ind w:firstLine="510"/>
    </w:pPr>
    <w:rPr>
      <w:sz w:val="28"/>
      <w:szCs w:val="24"/>
    </w:rPr>
  </w:style>
  <w:style w:type="paragraph" w:styleId="3">
    <w:name w:val="Plain Text"/>
    <w:basedOn w:val="1"/>
    <w:link w:val="17"/>
    <w:qFormat/>
    <w:uiPriority w:val="99"/>
    <w:rPr>
      <w:rFonts w:ascii="宋体" w:hAnsi="Courier New" w:cs="Courier New"/>
      <w:szCs w:val="21"/>
    </w:rPr>
  </w:style>
  <w:style w:type="paragraph" w:styleId="4">
    <w:name w:val="Date"/>
    <w:basedOn w:val="1"/>
    <w:next w:val="1"/>
    <w:link w:val="12"/>
    <w:semiHidden/>
    <w:qFormat/>
    <w:uiPriority w:val="99"/>
    <w:pPr>
      <w:ind w:left="100" w:leftChars="2500"/>
    </w:p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日期 Char"/>
    <w:basedOn w:val="8"/>
    <w:link w:val="4"/>
    <w:semiHidden/>
    <w:qFormat/>
    <w:locked/>
    <w:uiPriority w:val="99"/>
    <w:rPr>
      <w:rFonts w:cs="Times New Roman"/>
      <w:kern w:val="2"/>
      <w:sz w:val="24"/>
      <w:szCs w:val="24"/>
    </w:rPr>
  </w:style>
  <w:style w:type="character" w:customStyle="1" w:styleId="13">
    <w:name w:val="批注框文本 Char"/>
    <w:basedOn w:val="8"/>
    <w:link w:val="5"/>
    <w:semiHidden/>
    <w:qFormat/>
    <w:locked/>
    <w:uiPriority w:val="99"/>
    <w:rPr>
      <w:rFonts w:cs="Times New Roman"/>
      <w:kern w:val="2"/>
      <w:sz w:val="18"/>
      <w:szCs w:val="18"/>
    </w:rPr>
  </w:style>
  <w:style w:type="character" w:customStyle="1" w:styleId="14">
    <w:name w:val="页脚 Char"/>
    <w:basedOn w:val="8"/>
    <w:link w:val="6"/>
    <w:qFormat/>
    <w:locked/>
    <w:uiPriority w:val="99"/>
    <w:rPr>
      <w:rFonts w:cs="Times New Roman"/>
      <w:kern w:val="2"/>
      <w:sz w:val="18"/>
      <w:szCs w:val="18"/>
    </w:rPr>
  </w:style>
  <w:style w:type="character" w:customStyle="1" w:styleId="15">
    <w:name w:val="页眉 Char"/>
    <w:basedOn w:val="8"/>
    <w:link w:val="7"/>
    <w:semiHidden/>
    <w:qFormat/>
    <w:locked/>
    <w:uiPriority w:val="99"/>
    <w:rPr>
      <w:rFonts w:cs="Times New Roman"/>
      <w:kern w:val="2"/>
      <w:sz w:val="18"/>
      <w:szCs w:val="18"/>
    </w:rPr>
  </w:style>
  <w:style w:type="paragraph" w:customStyle="1" w:styleId="16">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7">
    <w:name w:val="纯文本 Char"/>
    <w:basedOn w:val="8"/>
    <w:link w:val="3"/>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752EC-D780-4B23-81D7-C09E761B1B5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333</Words>
  <Characters>1899</Characters>
  <Lines>15</Lines>
  <Paragraphs>4</Paragraphs>
  <TotalTime>7</TotalTime>
  <ScaleCrop>false</ScaleCrop>
  <LinksUpToDate>false</LinksUpToDate>
  <CharactersWithSpaces>2228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2016-05-12T01:53:00Z</dcterms:created>
  <dc:creator>User</dc:creator>
  <cp:lastModifiedBy>Administrator</cp:lastModifiedBy>
  <cp:lastPrinted>2016-12-20T03:18:00Z</cp:lastPrinted>
  <dcterms:modified xsi:type="dcterms:W3CDTF">2021-12-10T05:37:29Z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92DE86896DA14A19A922D101C63A0897</vt:lpwstr>
  </property>
</Properties>
</file>