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96" w:lineRule="exact"/>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重庆市沙坪坝区中梁镇人民政府</w:t>
      </w:r>
    </w:p>
    <w:p>
      <w:pPr>
        <w:widowControl w:val="0"/>
        <w:adjustRightInd/>
        <w:snapToGrid/>
        <w:spacing w:after="0" w:line="596" w:lineRule="exact"/>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2021年度部门决算情况说明</w:t>
      </w:r>
    </w:p>
    <w:p>
      <w:pPr>
        <w:widowControl w:val="0"/>
        <w:adjustRightInd/>
        <w:snapToGrid/>
        <w:spacing w:after="0" w:line="596" w:lineRule="exact"/>
        <w:jc w:val="center"/>
        <w:rPr>
          <w:rFonts w:ascii="Times New Roman" w:hAnsi="Times New Roman" w:eastAsia="方正小标宋_GBK" w:cs="Times New Roman"/>
          <w:kern w:val="2"/>
          <w:sz w:val="44"/>
          <w:szCs w:val="44"/>
        </w:rPr>
      </w:pPr>
    </w:p>
    <w:p>
      <w:pPr>
        <w:pStyle w:val="4"/>
        <w:shd w:val="clear" w:color="auto" w:fill="FFFFFF"/>
        <w:spacing w:before="0" w:beforeAutospacing="0" w:after="0" w:afterAutospacing="0" w:line="596" w:lineRule="exact"/>
        <w:ind w:firstLine="640" w:firstLineChars="200"/>
        <w:jc w:val="both"/>
        <w:rPr>
          <w:rStyle w:val="7"/>
          <w:rFonts w:ascii="Times New Roman" w:hAnsi="Times New Roman" w:eastAsia="方正黑体_GBK" w:cs="Times New Roman"/>
          <w:b w:val="0"/>
          <w:sz w:val="32"/>
          <w:szCs w:val="32"/>
        </w:rPr>
      </w:pPr>
      <w:r>
        <w:rPr>
          <w:rStyle w:val="7"/>
          <w:rFonts w:ascii="Times New Roman" w:hAnsi="Times New Roman" w:eastAsia="方正黑体_GBK" w:cs="Times New Roman"/>
          <w:b w:val="0"/>
          <w:sz w:val="32"/>
          <w:szCs w:val="32"/>
        </w:rPr>
        <w:t>一、部门基本情况</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黑体_GBK" w:cs="Times New Roman"/>
          <w:sz w:val="32"/>
          <w:szCs w:val="32"/>
        </w:rPr>
      </w:pPr>
      <w:r>
        <w:rPr>
          <w:rStyle w:val="7"/>
          <w:rFonts w:ascii="Times New Roman" w:hAnsi="Times New Roman" w:eastAsia="方正楷体_GBK" w:cs="Times New Roman"/>
          <w:b w:val="0"/>
          <w:sz w:val="32"/>
          <w:szCs w:val="32"/>
        </w:rPr>
        <w:t>（一）职能职责。</w:t>
      </w:r>
    </w:p>
    <w:p>
      <w:pPr>
        <w:pStyle w:val="4"/>
        <w:shd w:val="clear" w:color="auto" w:fill="FFFFFF"/>
        <w:spacing w:before="0" w:beforeAutospacing="0" w:after="0" w:afterAutospacing="0" w:line="580" w:lineRule="exact"/>
        <w:ind w:firstLine="640" w:firstLineChars="200"/>
        <w:jc w:val="both"/>
        <w:rPr>
          <w:rFonts w:ascii="Times New Roman" w:hAnsi="Times New Roman" w:eastAsia="方正仿宋_GBK" w:cs="Times New Roman"/>
          <w:sz w:val="32"/>
          <w:szCs w:val="32"/>
        </w:rPr>
      </w:pPr>
      <w:r>
        <w:rPr>
          <w:rStyle w:val="10"/>
          <w:rFonts w:ascii="Times New Roman" w:hAnsi="Times New Roman" w:eastAsia="方正仿宋_GBK" w:cs="Times New Roman"/>
          <w:b w:val="0"/>
          <w:sz w:val="32"/>
          <w:szCs w:val="32"/>
          <w:shd w:val="clear" w:color="auto" w:fill="FFFFFF"/>
        </w:rPr>
        <w:t>中梁镇人民</w:t>
      </w:r>
      <w:r>
        <w:rPr>
          <w:rFonts w:ascii="Times New Roman" w:hAnsi="Times New Roman" w:eastAsia="方正仿宋_GBK" w:cs="Times New Roman"/>
          <w:sz w:val="32"/>
          <w:szCs w:val="32"/>
          <w:shd w:val="clear" w:color="auto" w:fill="FFFFFF"/>
        </w:rPr>
        <w:t>政府是基层国家行政机关，行使本行政区的行政职能。1.制定和组织实施经济、科技和社会发展计划，组织指导好各行业生产，搞好商品流通，协调好本镇与外地区的经济交流与合作，抓好招商引资，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反对封建迷信，破除陈规陋习，树立社会主义新风尚。6.完成上级政府交办的</w:t>
      </w:r>
      <w:r>
        <w:rPr>
          <w:rFonts w:hint="eastAsia" w:ascii="Times New Roman" w:hAnsi="Times New Roman" w:eastAsia="方正仿宋_GBK" w:cs="Times New Roman"/>
          <w:sz w:val="32"/>
          <w:szCs w:val="32"/>
          <w:shd w:val="clear" w:color="auto" w:fill="FFFFFF"/>
        </w:rPr>
        <w:t>其他</w:t>
      </w:r>
      <w:r>
        <w:rPr>
          <w:rFonts w:ascii="Times New Roman" w:hAnsi="Times New Roman" w:eastAsia="方正仿宋_GBK" w:cs="Times New Roman"/>
          <w:sz w:val="32"/>
          <w:szCs w:val="32"/>
          <w:shd w:val="clear" w:color="auto" w:fill="FFFFFF"/>
        </w:rPr>
        <w:t>事项。</w:t>
      </w:r>
      <w:r>
        <w:rPr>
          <w:rFonts w:ascii="Times New Roman" w:hAnsi="Times New Roman" w:eastAsia="方正仿宋_GBK" w:cs="Times New Roman"/>
          <w:sz w:val="32"/>
          <w:szCs w:val="32"/>
        </w:rPr>
        <w:t> </w:t>
      </w:r>
    </w:p>
    <w:p>
      <w:pPr>
        <w:pStyle w:val="4"/>
        <w:shd w:val="clear" w:color="auto" w:fill="FFFFFF"/>
        <w:spacing w:before="0" w:beforeAutospacing="0" w:after="0" w:afterAutospacing="0" w:line="596" w:lineRule="exact"/>
        <w:ind w:firstLine="640" w:firstLineChars="200"/>
        <w:jc w:val="both"/>
        <w:rPr>
          <w:rStyle w:val="7"/>
          <w:rFonts w:ascii="Times New Roman" w:hAnsi="Times New Roman" w:eastAsia="方正楷体_GBK" w:cs="Times New Roman"/>
          <w:b w:val="0"/>
          <w:sz w:val="32"/>
          <w:szCs w:val="32"/>
          <w:highlight w:val="yellow"/>
        </w:rPr>
      </w:pPr>
      <w:r>
        <w:rPr>
          <w:rStyle w:val="7"/>
          <w:rFonts w:ascii="Times New Roman" w:hAnsi="Times New Roman" w:eastAsia="方正楷体_GBK" w:cs="Times New Roman"/>
          <w:b w:val="0"/>
          <w:sz w:val="32"/>
          <w:szCs w:val="32"/>
        </w:rPr>
        <w:t>（二）机构设置。</w:t>
      </w:r>
    </w:p>
    <w:p>
      <w:pPr>
        <w:overflowPunct w:val="0"/>
        <w:adjustRightInd/>
        <w:snapToGrid/>
        <w:spacing w:after="0" w:line="596" w:lineRule="exact"/>
        <w:ind w:firstLine="640" w:firstLineChars="200"/>
        <w:jc w:val="both"/>
        <w:rPr>
          <w:rFonts w:ascii="Times New Roman" w:hAnsi="Times New Roman" w:eastAsia="方正仿宋_GBK" w:cs="Times New Roman"/>
          <w:sz w:val="32"/>
          <w:szCs w:val="32"/>
          <w:highlight w:val="yellow"/>
          <w:shd w:val="clear" w:color="auto" w:fill="FFFFFF"/>
        </w:rPr>
      </w:pPr>
      <w:r>
        <w:rPr>
          <w:rFonts w:hint="eastAsia" w:ascii="Times New Roman" w:hAnsi="Times New Roman" w:eastAsia="方正仿宋_GBK" w:cs="Times New Roman"/>
          <w:sz w:val="32"/>
          <w:szCs w:val="32"/>
          <w:shd w:val="clear" w:color="auto" w:fill="FFFFFF"/>
        </w:rPr>
        <w:t>沙坪坝区中梁镇内设机构8个，具体设置情况如下：党政办公室、党建工作办公室、经济发展办公室、民政和社区事务办公室、平安建设办公室、规划建设管理环保办公室、财政办公室、应急管理办公室</w:t>
      </w:r>
    </w:p>
    <w:p>
      <w:pPr>
        <w:overflowPunct w:val="0"/>
        <w:adjustRightInd/>
        <w:snapToGrid/>
        <w:spacing w:after="0" w:line="596" w:lineRule="exact"/>
        <w:ind w:firstLine="640" w:firstLineChars="200"/>
        <w:jc w:val="both"/>
        <w:rPr>
          <w:rFonts w:ascii="Times New Roman" w:hAnsi="Times New Roman" w:eastAsia="方正楷体_GBK" w:cs="Times New Roman"/>
          <w:sz w:val="32"/>
          <w:szCs w:val="32"/>
          <w:shd w:val="clear" w:color="auto" w:fill="FFFFFF"/>
        </w:rPr>
      </w:pPr>
      <w:r>
        <w:rPr>
          <w:rStyle w:val="7"/>
          <w:rFonts w:ascii="Times New Roman" w:hAnsi="Times New Roman" w:eastAsia="方正楷体_GBK" w:cs="Times New Roman"/>
          <w:b w:val="0"/>
          <w:sz w:val="32"/>
          <w:szCs w:val="32"/>
        </w:rPr>
        <w:t>（三）单位构成。</w:t>
      </w:r>
    </w:p>
    <w:p>
      <w:pPr>
        <w:overflowPunct w:val="0"/>
        <w:adjustRightInd/>
        <w:snapToGrid/>
        <w:spacing w:after="0" w:line="596" w:lineRule="exact"/>
        <w:ind w:firstLine="640" w:firstLineChars="200"/>
        <w:jc w:val="both"/>
        <w:rPr>
          <w:rFonts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rPr>
        <w:t>从预算单位构成看，纳入本部门2021年度决算编制的二级预算单位主要包括农</w:t>
      </w:r>
      <w:r>
        <w:rPr>
          <w:rFonts w:ascii="Times New Roman" w:hAnsi="Times New Roman" w:eastAsia="方正仿宋_GBK" w:cs="Times New Roman"/>
          <w:sz w:val="32"/>
          <w:szCs w:val="32"/>
          <w:shd w:val="clear" w:color="auto" w:fill="FFFFFF"/>
        </w:rPr>
        <w:t>业服务中心、文化服务中心、劳动就业和社会保障服务所、退役军人服务站、综合行政执法大队。其中，综合行政执法大队与综合行政执法办公室实行统筹运行的机制。</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黑体_GBK" w:cs="Times New Roman"/>
          <w:bCs/>
          <w:sz w:val="32"/>
          <w:szCs w:val="32"/>
        </w:rPr>
      </w:pPr>
      <w:r>
        <w:rPr>
          <w:rStyle w:val="7"/>
          <w:rFonts w:ascii="Times New Roman" w:hAnsi="Times New Roman" w:eastAsia="方正黑体_GBK" w:cs="Times New Roman"/>
          <w:b w:val="0"/>
          <w:sz w:val="32"/>
          <w:szCs w:val="32"/>
        </w:rPr>
        <w:t xml:space="preserve"> 二、部门决算情况说明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（一）收入支出决算总体情况说明。</w:t>
      </w:r>
    </w:p>
    <w:p>
      <w:pPr>
        <w:pStyle w:val="4"/>
        <w:shd w:val="clear" w:color="auto" w:fill="FFFFFF"/>
        <w:spacing w:before="0" w:beforeAutospacing="0" w:after="0" w:afterAutospacing="0" w:line="596" w:lineRule="exact"/>
        <w:ind w:firstLine="640" w:firstLineChars="200"/>
        <w:jc w:val="both"/>
        <w:rPr>
          <w:rStyle w:val="7"/>
          <w:rFonts w:ascii="Times New Roman" w:hAnsi="Times New Roman" w:eastAsia="方正仿宋_GBK" w:cs="Times New Roman"/>
          <w:b w:val="0"/>
          <w:sz w:val="32"/>
          <w:szCs w:val="32"/>
        </w:rPr>
      </w:pPr>
      <w:r>
        <w:rPr>
          <w:rStyle w:val="7"/>
          <w:rFonts w:ascii="Times New Roman" w:hAnsi="Times New Roman" w:eastAsia="方正仿宋_GBK" w:cs="Times New Roman"/>
          <w:b w:val="0"/>
          <w:sz w:val="32"/>
          <w:szCs w:val="32"/>
        </w:rPr>
        <w:t>1.总体情况。</w:t>
      </w:r>
      <w:r>
        <w:rPr>
          <w:rFonts w:ascii="Times New Roman" w:hAnsi="Times New Roman" w:eastAsia="方正仿宋_GBK" w:cs="Times New Roman"/>
          <w:sz w:val="32"/>
          <w:szCs w:val="32"/>
        </w:rPr>
        <w:t>2021年度收入总计12,653.51万元，支出总计12,653.51万元。收支较上年决算数增加1,876.57万元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增长17.4%，主要原因是专项项目经费增加，主要包括：乡村振兴示范带建设相关项目、四好农村公路建设、农村户厕改造、国土绿化提升、山水林田湖草生态保护修复工程、沙坪坝区长江经济带废弃露天矿山生态修复等专项项目资金。</w:t>
      </w:r>
      <w:r>
        <w:rPr>
          <w:rStyle w:val="7"/>
          <w:rFonts w:ascii="Times New Roman" w:hAnsi="Times New Roman" w:eastAsia="方正仿宋_GBK" w:cs="Times New Roman"/>
          <w:b w:val="0"/>
          <w:sz w:val="32"/>
          <w:szCs w:val="32"/>
        </w:rPr>
        <w:t xml:space="preserve">  </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bCs/>
          <w:sz w:val="32"/>
          <w:szCs w:val="32"/>
        </w:rPr>
      </w:pPr>
      <w:r>
        <w:rPr>
          <w:rStyle w:val="7"/>
          <w:rFonts w:ascii="Times New Roman" w:hAnsi="Times New Roman" w:eastAsia="方正仿宋_GBK" w:cs="Times New Roman"/>
          <w:b w:val="0"/>
          <w:sz w:val="32"/>
          <w:szCs w:val="32"/>
        </w:rPr>
        <w:t>2.收入情况。</w:t>
      </w:r>
      <w:r>
        <w:rPr>
          <w:rFonts w:ascii="Times New Roman" w:hAnsi="Times New Roman" w:eastAsia="方正仿宋_GBK" w:cs="Times New Roman"/>
          <w:sz w:val="32"/>
          <w:szCs w:val="32"/>
        </w:rPr>
        <w:t>2021年度收入合计12,653.51万元，较上年决算数增加1,876.57万元，增长17.4%，主要原因是专项项目经费增加，主要包括：乡村振兴示范带建设相关项目、四好农村公路建设、农村户厕改造、国土绿化提升、山水林田湖草生态保护修复工程、沙坪坝区长江经济带废弃露天矿山生态修复。其中：财政拨款收入12653.51万元，占100%。</w:t>
      </w:r>
    </w:p>
    <w:p>
      <w:pPr>
        <w:pStyle w:val="4"/>
        <w:shd w:val="clear" w:color="auto" w:fill="FFFFFF"/>
        <w:spacing w:before="0" w:beforeAutospacing="0" w:after="0" w:afterAutospacing="0" w:line="596" w:lineRule="exact"/>
        <w:ind w:firstLine="640" w:firstLineChars="200"/>
        <w:jc w:val="both"/>
        <w:rPr>
          <w:rStyle w:val="7"/>
          <w:rFonts w:ascii="Times New Roman" w:hAnsi="Times New Roman" w:eastAsia="方正仿宋_GBK" w:cs="Times New Roman"/>
          <w:b w:val="0"/>
          <w:sz w:val="32"/>
          <w:szCs w:val="32"/>
        </w:rPr>
      </w:pPr>
      <w:r>
        <w:rPr>
          <w:rStyle w:val="7"/>
          <w:rFonts w:ascii="Times New Roman" w:hAnsi="Times New Roman" w:eastAsia="方正仿宋_GBK" w:cs="Times New Roman"/>
          <w:b w:val="0"/>
          <w:sz w:val="32"/>
          <w:szCs w:val="32"/>
        </w:rPr>
        <w:t xml:space="preserve"> 3.支出情况。2021年度支出合计12653.51万元，较上年决算数增加1876.57万元，增长17.41%，主要原因是专项项目支出增加，主要包括：乡村振兴示范带建设相关项目、四好农村公路建设、农村户厕改造、国土绿化提升、山水林田湖草生态保护修复工程、沙坪坝区长江经济带废弃露天矿山生态修复。其中：基本支出1558.58万元，占12.32%；项目支出11094.93万元，占87.68%；  </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4.结转结余情况。</w:t>
      </w:r>
      <w:r>
        <w:rPr>
          <w:rFonts w:ascii="Times New Roman" w:hAnsi="Times New Roman" w:eastAsia="方正仿宋_GBK" w:cs="Times New Roman"/>
          <w:sz w:val="32"/>
          <w:szCs w:val="32"/>
        </w:rPr>
        <w:t>2021年度年末结转和结余</w:t>
      </w:r>
      <w:r>
        <w:rPr>
          <w:rFonts w:hint="eastAsia" w:ascii="Times New Roman" w:hAnsi="Times New Roman" w:eastAsia="方正仿宋_GBK" w:cs="Times New Roman"/>
          <w:sz w:val="32"/>
          <w:szCs w:val="32"/>
        </w:rPr>
        <w:t>0.00</w:t>
      </w:r>
      <w:r>
        <w:rPr>
          <w:rFonts w:ascii="Times New Roman" w:hAnsi="Times New Roman" w:eastAsia="方正仿宋_GBK" w:cs="Times New Roman"/>
          <w:sz w:val="32"/>
          <w:szCs w:val="32"/>
        </w:rPr>
        <w:t>万元，较上年决算数增加</w:t>
      </w:r>
      <w:r>
        <w:rPr>
          <w:rFonts w:hint="eastAsia" w:ascii="Times New Roman" w:hAnsi="Times New Roman" w:eastAsia="方正仿宋_GBK" w:cs="Times New Roman"/>
          <w:sz w:val="32"/>
          <w:szCs w:val="32"/>
        </w:rPr>
        <w:t>0.00</w:t>
      </w:r>
      <w:r>
        <w:rPr>
          <w:rFonts w:ascii="Times New Roman" w:hAnsi="Times New Roman" w:eastAsia="方正仿宋_GBK" w:cs="Times New Roman"/>
          <w:sz w:val="32"/>
          <w:szCs w:val="32"/>
        </w:rPr>
        <w:t>万元，增长0.0%。</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（二）财政拨款收入支出决算总体情况说明。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2021年度财政拨款收、支总计12653.51万元。与2021年相比，财政拨款收、支总计各增加1876.57万元，增长17.41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。主要原因是专项项目</w:t>
      </w:r>
      <w:r>
        <w:rPr>
          <w:rFonts w:hint="eastAsia" w:ascii="Times New Roman" w:hAnsi="Times New Roman" w:eastAsia="方正仿宋_GBK" w:cs="Times New Roman"/>
          <w:sz w:val="32"/>
          <w:szCs w:val="32"/>
        </w:rPr>
        <w:t>收入</w:t>
      </w:r>
      <w:r>
        <w:rPr>
          <w:rFonts w:ascii="Times New Roman" w:hAnsi="Times New Roman" w:eastAsia="方正仿宋_GBK" w:cs="Times New Roman"/>
          <w:sz w:val="32"/>
          <w:szCs w:val="32"/>
        </w:rPr>
        <w:t>支出增加，主要包括：乡村振兴示范带建设相关项目、四好农村公路建设、农村户厕改造、国土绿化提升、山水林田湖草生态保护修复工程、沙坪坝区长江经济带废弃露天矿山生态修复。</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（三）一般公共预算财政拨款收入支出决算情况说明。</w:t>
      </w:r>
    </w:p>
    <w:p>
      <w:pPr>
        <w:pStyle w:val="4"/>
        <w:shd w:val="clear" w:color="auto" w:fill="FFFFFF"/>
        <w:spacing w:before="0" w:beforeAutospacing="0" w:after="0" w:afterAutospacing="0" w:line="596" w:lineRule="exact"/>
        <w:ind w:firstLine="640" w:firstLineChars="200"/>
        <w:jc w:val="both"/>
        <w:rPr>
          <w:rFonts w:ascii="Times New Roman" w:hAnsi="方正仿宋_GBK" w:eastAsia="方正仿宋_GBK" w:cs="Times New Roman"/>
          <w:sz w:val="32"/>
          <w:szCs w:val="32"/>
        </w:rPr>
      </w:pPr>
      <w:r>
        <w:rPr>
          <w:rStyle w:val="7"/>
          <w:rFonts w:ascii="Times New Roman" w:hAnsi="Times New Roman" w:eastAsia="方正仿宋_GBK" w:cs="Times New Roman"/>
          <w:b w:val="0"/>
          <w:sz w:val="32"/>
          <w:szCs w:val="32"/>
        </w:rPr>
        <w:t>1.收入情况。</w:t>
      </w:r>
      <w:r>
        <w:rPr>
          <w:rFonts w:ascii="Times New Roman" w:hAnsi="Times New Roman" w:eastAsia="方正仿宋_GBK" w:cs="Times New Roman"/>
          <w:sz w:val="32"/>
          <w:szCs w:val="32"/>
        </w:rPr>
        <w:t>2021年度一般公共预算财政拨款收入11,877.65万元，较上年决算数增加1,270.97万元，增长12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主要原因是专项项目</w:t>
      </w:r>
      <w:r>
        <w:rPr>
          <w:rFonts w:ascii="Times New Roman" w:hAnsi="方正仿宋_GBK" w:eastAsia="方正仿宋_GBK" w:cs="Times New Roman"/>
          <w:sz w:val="32"/>
          <w:szCs w:val="32"/>
        </w:rPr>
        <w:t>经费增加，主要包括：乡村振兴示范带建设相关项目、四好农村公路建设、农村户厕改造、国土绿化提升、山水林田湖草生态保护修复工程、沙坪坝区长江经济带废弃露天矿山生态修复。</w:t>
      </w:r>
      <w:r>
        <w:rPr>
          <w:rFonts w:ascii="Times New Roman" w:hAnsi="Times New Roman" w:eastAsia="方正仿宋_GBK" w:cs="Times New Roman"/>
          <w:sz w:val="32"/>
          <w:szCs w:val="32"/>
        </w:rPr>
        <w:t>较年初预算数增加10,289.14万元，增长647.7%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主要原因是2021</w:t>
      </w:r>
      <w:r>
        <w:rPr>
          <w:rFonts w:ascii="Times New Roman" w:hAnsi="方正仿宋_GBK" w:eastAsia="方正仿宋_GBK" w:cs="Times New Roman"/>
          <w:sz w:val="32"/>
          <w:szCs w:val="32"/>
        </w:rPr>
        <w:t>年年中收到上级拨付的专项资金</w:t>
      </w:r>
      <w:r>
        <w:rPr>
          <w:rFonts w:hint="eastAsia" w:ascii="Times New Roman" w:hAnsi="方正仿宋_GBK" w:eastAsia="方正仿宋_GBK" w:cs="Times New Roman"/>
          <w:sz w:val="32"/>
          <w:szCs w:val="32"/>
        </w:rPr>
        <w:t>增加</w:t>
      </w:r>
      <w:r>
        <w:rPr>
          <w:rFonts w:ascii="Times New Roman" w:hAnsi="方正仿宋_GBK" w:eastAsia="方正仿宋_GBK" w:cs="Times New Roman"/>
          <w:sz w:val="32"/>
          <w:szCs w:val="32"/>
        </w:rPr>
        <w:t>，主要包括：乡村振兴</w:t>
      </w:r>
      <w:r>
        <w:rPr>
          <w:rFonts w:hint="eastAsia" w:ascii="Times New Roman" w:hAnsi="方正仿宋_GBK" w:eastAsia="方正仿宋_GBK" w:cs="Times New Roman"/>
          <w:sz w:val="32"/>
          <w:szCs w:val="32"/>
        </w:rPr>
        <w:t>示范带建设</w:t>
      </w:r>
      <w:r>
        <w:rPr>
          <w:rFonts w:ascii="Times New Roman" w:hAnsi="方正仿宋_GBK" w:eastAsia="方正仿宋_GBK" w:cs="Times New Roman"/>
          <w:sz w:val="32"/>
          <w:szCs w:val="32"/>
        </w:rPr>
        <w:t>相关项目、松材线虫病死松树除治、农村综合改革、四好农村公路建设、山水林田湖草生态保护修复工程、沙坪坝区长江经济带废弃露天矿山生态修复等专项项目资金。此外，年初财政拨款结转和结余</w:t>
      </w:r>
      <w:r>
        <w:rPr>
          <w:rFonts w:ascii="Times New Roman" w:hAnsi="Times New Roman" w:eastAsia="方正仿宋_GBK" w:cs="Times New Roman"/>
          <w:sz w:val="32"/>
          <w:szCs w:val="32"/>
        </w:rPr>
        <w:t>0.00</w:t>
      </w:r>
      <w:r>
        <w:rPr>
          <w:rFonts w:ascii="Times New Roman" w:hAnsi="方正仿宋_GBK" w:eastAsia="方正仿宋_GBK" w:cs="Times New Roman"/>
          <w:sz w:val="32"/>
          <w:szCs w:val="32"/>
        </w:rPr>
        <w:t>万元。</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 2.支出情况。</w:t>
      </w:r>
      <w:r>
        <w:rPr>
          <w:rFonts w:ascii="Times New Roman" w:hAnsi="Times New Roman" w:eastAsia="方正仿宋_GBK" w:cs="Times New Roman"/>
          <w:sz w:val="32"/>
          <w:szCs w:val="32"/>
        </w:rPr>
        <w:t>2021年度一般公共预算财政拨款支出11,877.65万元，较上年决算数增加1,270.97万元，增长12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%。主要原因是</w:t>
      </w:r>
      <w:r>
        <w:rPr>
          <w:rFonts w:ascii="Times New Roman" w:hAnsi="方正仿宋_GBK" w:eastAsia="方正仿宋_GBK" w:cs="Times New Roman"/>
          <w:sz w:val="32"/>
          <w:szCs w:val="32"/>
        </w:rPr>
        <w:t>专项项目经费增加，主要包括：</w:t>
      </w:r>
      <w:r>
        <w:rPr>
          <w:rFonts w:hint="eastAsia" w:ascii="Times New Roman" w:hAnsi="方正仿宋_GBK" w:eastAsia="方正仿宋_GBK" w:cs="Times New Roman"/>
          <w:sz w:val="32"/>
          <w:szCs w:val="32"/>
        </w:rPr>
        <w:t>乡</w:t>
      </w:r>
      <w:r>
        <w:rPr>
          <w:rFonts w:ascii="Times New Roman" w:hAnsi="方正仿宋_GBK" w:eastAsia="方正仿宋_GBK" w:cs="Times New Roman"/>
          <w:sz w:val="32"/>
          <w:szCs w:val="32"/>
        </w:rPr>
        <w:t>村振兴示范带建设相关项目、四好农村公路建设、农村户厕改造、国土绿化提升、山水林田湖草生态保护修复工程、沙坪坝区长江经济带废弃露天矿山生态修复。</w:t>
      </w:r>
      <w:r>
        <w:rPr>
          <w:rFonts w:ascii="Times New Roman" w:hAnsi="Times New Roman" w:eastAsia="方正仿宋_GBK" w:cs="Times New Roman"/>
          <w:sz w:val="32"/>
          <w:szCs w:val="32"/>
        </w:rPr>
        <w:t>较年初预算数增加10,289.14万元，增长647.7%。主要原因是2021</w:t>
      </w:r>
      <w:r>
        <w:rPr>
          <w:rFonts w:ascii="Times New Roman" w:hAnsi="方正仿宋_GBK" w:eastAsia="方正仿宋_GBK" w:cs="Times New Roman"/>
          <w:sz w:val="32"/>
          <w:szCs w:val="32"/>
        </w:rPr>
        <w:t>年收到上级拨付的专项资金较多，主要包括：</w:t>
      </w:r>
      <w:r>
        <w:rPr>
          <w:rFonts w:hint="eastAsia" w:ascii="Times New Roman" w:hAnsi="方正仿宋_GBK" w:eastAsia="方正仿宋_GBK" w:cs="Times New Roman"/>
          <w:sz w:val="32"/>
          <w:szCs w:val="32"/>
        </w:rPr>
        <w:t>乡</w:t>
      </w:r>
      <w:r>
        <w:rPr>
          <w:rFonts w:ascii="Times New Roman" w:hAnsi="方正仿宋_GBK" w:eastAsia="方正仿宋_GBK" w:cs="Times New Roman"/>
          <w:sz w:val="32"/>
          <w:szCs w:val="32"/>
        </w:rPr>
        <w:t>村振兴示范带建设相关项目、四好农村公路建设、农村户厕改造、国土绿化提升、山水林田湖草生态保护修复工程、沙坪坝区长江经济带废弃露天矿山生态修复。</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3.结转结余情况。</w:t>
      </w:r>
      <w:r>
        <w:rPr>
          <w:rFonts w:ascii="Times New Roman" w:hAnsi="Times New Roman" w:eastAsia="方正仿宋_GBK" w:cs="Times New Roman"/>
          <w:sz w:val="32"/>
          <w:szCs w:val="32"/>
        </w:rPr>
        <w:t>2021年度年末一般公共预算财政拨款结转和结余0.00万元，较上年决算数增加0.00万元，增长0.0%。</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 4.比较情况。</w:t>
      </w:r>
      <w:r>
        <w:rPr>
          <w:rFonts w:ascii="Times New Roman" w:hAnsi="Times New Roman" w:eastAsia="方正仿宋_GBK" w:cs="Times New Roman"/>
          <w:sz w:val="32"/>
          <w:szCs w:val="32"/>
        </w:rPr>
        <w:t>本部门2021年度一般公共预算财政拨款支出主要用于以下几个方面：</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（1）一般公共服务支出1,333.29万元，占11.2%，较年初预算数增加738.43万元，增长124.1%，主要原因是2021</w:t>
      </w:r>
      <w:r>
        <w:rPr>
          <w:rFonts w:ascii="Times New Roman" w:hAnsi="方正仿宋_GBK" w:eastAsia="方正仿宋_GBK" w:cs="Times New Roman"/>
          <w:sz w:val="32"/>
          <w:szCs w:val="32"/>
        </w:rPr>
        <w:t>年调入及新进职工较多，年中追加</w:t>
      </w:r>
      <w:r>
        <w:rPr>
          <w:rFonts w:ascii="Times New Roman" w:hAnsi="Times New Roman" w:eastAsia="方正仿宋_GBK" w:cs="Times New Roman"/>
          <w:sz w:val="32"/>
          <w:szCs w:val="32"/>
        </w:rPr>
        <w:t>2020</w:t>
      </w:r>
      <w:r>
        <w:rPr>
          <w:rFonts w:ascii="Times New Roman" w:hAnsi="方正仿宋_GBK" w:eastAsia="方正仿宋_GBK" w:cs="Times New Roman"/>
          <w:sz w:val="32"/>
          <w:szCs w:val="32"/>
        </w:rPr>
        <w:t>年绩效目标考核以及部门划转的转移支付纳入决算，例如夜巡队员工资、基层综治员工资等专项经费</w:t>
      </w:r>
      <w:r>
        <w:rPr>
          <w:rFonts w:ascii="Times New Roman" w:hAnsi="Times New Roman" w:eastAsia="方正仿宋_GBK" w:cs="Times New Roman"/>
          <w:sz w:val="32"/>
          <w:szCs w:val="32"/>
        </w:rPr>
        <w:t xml:space="preserve"> </w:t>
      </w:r>
      <w:r>
        <w:rPr>
          <w:rFonts w:ascii="Times New Roman" w:hAnsi="方正仿宋_GBK" w:eastAsia="方正仿宋_GBK" w:cs="Times New Roman"/>
          <w:sz w:val="32"/>
          <w:szCs w:val="32"/>
        </w:rPr>
        <w:t>。</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（2）公共安全支出34.12万元，占0.29%，较年初预算数增加34.12万元，增长100</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%，主要原因是</w:t>
      </w:r>
      <w:r>
        <w:rPr>
          <w:rFonts w:ascii="Times New Roman" w:hAnsi="方正仿宋_GBK" w:eastAsia="方正仿宋_GBK" w:cs="Times New Roman"/>
          <w:sz w:val="32"/>
          <w:szCs w:val="32"/>
        </w:rPr>
        <w:t>部门划转转移支付纳入决算，主要包括交通安全劝导员补贴等专项资金。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（3）科学技术支出1.30万元，占0.01%，较年初预算数增加1.30万元，增长100%，主要原因</w:t>
      </w:r>
      <w:r>
        <w:rPr>
          <w:rFonts w:ascii="Times New Roman" w:hAnsi="方正仿宋_GBK" w:eastAsia="方正仿宋_GBK" w:cs="Times New Roman"/>
          <w:sz w:val="32"/>
          <w:szCs w:val="32"/>
        </w:rPr>
        <w:t>是部门划转转移支付纳入决算，包括科技助力乡村振兴补助等。</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（4）文化旅游体育与传媒支出116.68万元，占1</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%，较年初预算数增加44.97万元，增长62.7%，主要原因是</w:t>
      </w:r>
      <w:r>
        <w:rPr>
          <w:rFonts w:ascii="Times New Roman" w:hAnsi="方正仿宋_GBK" w:eastAsia="方正仿宋_GBK" w:cs="Times New Roman"/>
          <w:sz w:val="32"/>
          <w:szCs w:val="32"/>
        </w:rPr>
        <w:t>部门划转的转移支付纳入决算，主要包括中梁镇乡镇体育广场升级改造、应急广播系统建设等专项资金。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（5）社会保障与就业支出870.11万元，占7.3%，较年初预算数增加678.65万元，增长354.5%，主要原因是</w:t>
      </w:r>
      <w:r>
        <w:rPr>
          <w:rFonts w:ascii="Times New Roman" w:hAnsi="方正仿宋_GBK" w:eastAsia="方正仿宋_GBK" w:cs="Times New Roman"/>
          <w:sz w:val="32"/>
          <w:szCs w:val="32"/>
        </w:rPr>
        <w:t>部门划转的转移支付纳入决算，主要包括社会保障协管员工资、村社区五职干部补贴、民政优抚、残疾人生活和护理补贴等专项资金。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（6）卫生健康支出167.44万元，占1.4%，较年初预算数增加119.10万元，增长246.4%，主要原因是</w:t>
      </w:r>
      <w:r>
        <w:rPr>
          <w:rFonts w:ascii="Times New Roman" w:hAnsi="方正仿宋_GBK" w:eastAsia="方正仿宋_GBK" w:cs="Times New Roman"/>
          <w:sz w:val="32"/>
          <w:szCs w:val="32"/>
        </w:rPr>
        <w:t>部门划转的转移支付纳入决算，主要包括防范新型冠状病毒、农村户厕改造等专项资金。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（10）节能环保支出132.56万元，占</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%，较年初预算数增加132.56万元，增长100.0%，主要原因是</w:t>
      </w:r>
      <w:r>
        <w:rPr>
          <w:rFonts w:ascii="Times New Roman" w:hAnsi="方正仿宋_GBK" w:eastAsia="方正仿宋_GBK" w:cs="Times New Roman"/>
          <w:sz w:val="32"/>
          <w:szCs w:val="32"/>
        </w:rPr>
        <w:t>部门划转的转移支付纳入决算，例如农村生活污水治理等专项资金。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（11）城乡社区支出791.87万元，占6.7%，较年初预算数增加370.51万元，增长87.92%，主要原因是</w:t>
      </w:r>
      <w:r>
        <w:rPr>
          <w:rFonts w:ascii="Times New Roman" w:hAnsi="方正仿宋_GBK" w:eastAsia="方正仿宋_GBK" w:cs="Times New Roman"/>
          <w:sz w:val="32"/>
          <w:szCs w:val="32"/>
        </w:rPr>
        <w:t>部门划转的转移支付纳入决算，例如农村危房改造、人居环境整治、永宁寺村新建农贸市场等专项资金。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（12）农林水支出6,272.67万元，占52.8%，较年初预算数增加6,102.50万元，增长3585.49%，主要原因是</w:t>
      </w:r>
      <w:r>
        <w:rPr>
          <w:rFonts w:ascii="Times New Roman" w:hAnsi="方正仿宋_GBK" w:eastAsia="方正仿宋_GBK" w:cs="Times New Roman"/>
          <w:sz w:val="32"/>
          <w:szCs w:val="32"/>
        </w:rPr>
        <w:t>部门划转的转移支付纳入决算，例如乡村振兴示范带建设相关项目、农村综合改革等专项资金。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（13）交通运输支出1,289.99万元，占10.9%，较年初预算数增加1,289.99万元，增长100%，主要原因是</w:t>
      </w:r>
      <w:r>
        <w:rPr>
          <w:rFonts w:ascii="Times New Roman" w:hAnsi="方正仿宋_GBK" w:eastAsia="方正仿宋_GBK" w:cs="Times New Roman"/>
          <w:sz w:val="32"/>
          <w:szCs w:val="32"/>
        </w:rPr>
        <w:t>部门划转的转移支付纳入决算，例如</w:t>
      </w:r>
      <w:r>
        <w:rPr>
          <w:rFonts w:ascii="Times New Roman" w:hAnsi="Times New Roman" w:eastAsia="方正仿宋_GBK" w:cs="Times New Roman"/>
          <w:sz w:val="32"/>
          <w:szCs w:val="32"/>
        </w:rPr>
        <w:t>2017</w:t>
      </w:r>
      <w:r>
        <w:rPr>
          <w:rFonts w:ascii="Times New Roman" w:hAnsi="方正仿宋_GBK" w:eastAsia="方正仿宋_GBK" w:cs="Times New Roman"/>
          <w:sz w:val="32"/>
          <w:szCs w:val="32"/>
        </w:rPr>
        <w:t>年农村公路联网工程、四好农村公路建设等专项资金。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（14）资源勘探信息等支出55.75万元，占0.5%，较年初预算数增加55.75万元，增长100%，主要原因是</w:t>
      </w:r>
      <w:r>
        <w:rPr>
          <w:rFonts w:ascii="Times New Roman" w:hAnsi="方正仿宋_GBK" w:eastAsia="方正仿宋_GBK" w:cs="Times New Roman"/>
          <w:sz w:val="32"/>
          <w:szCs w:val="32"/>
        </w:rPr>
        <w:t>部门划转的转移支付纳入决算，例如茅山峡村安全隐患整治。</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（15）商业服务业等支出0.58万元，占0.01%，较年初预算数增加0.58万元，增长100.0%，主要原因是</w:t>
      </w:r>
      <w:r>
        <w:rPr>
          <w:rFonts w:ascii="Times New Roman" w:hAnsi="方正仿宋_GBK" w:eastAsia="方正仿宋_GBK" w:cs="Times New Roman"/>
          <w:sz w:val="32"/>
          <w:szCs w:val="32"/>
        </w:rPr>
        <w:t>部门划转的转移支付纳入决算，例如商贸统计工作支出、</w:t>
      </w:r>
      <w:r>
        <w:rPr>
          <w:rFonts w:ascii="Times New Roman" w:hAnsi="Times New Roman" w:eastAsia="方正仿宋_GBK" w:cs="Times New Roman"/>
          <w:sz w:val="32"/>
          <w:szCs w:val="32"/>
        </w:rPr>
        <w:t>2020</w:t>
      </w:r>
      <w:r>
        <w:rPr>
          <w:rFonts w:ascii="Times New Roman" w:hAnsi="方正仿宋_GBK" w:eastAsia="方正仿宋_GBK" w:cs="Times New Roman"/>
          <w:sz w:val="32"/>
          <w:szCs w:val="32"/>
        </w:rPr>
        <w:t>年受灾区县商贸流通恢复重建资金。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（16）自然资源海洋气象等支出540.49万元，占4.6%，较年初预算数增加540.49万元，增长%，主要原因是</w:t>
      </w:r>
      <w:r>
        <w:rPr>
          <w:rFonts w:ascii="Times New Roman" w:hAnsi="方正仿宋_GBK" w:eastAsia="方正仿宋_GBK" w:cs="Times New Roman"/>
          <w:sz w:val="32"/>
          <w:szCs w:val="32"/>
        </w:rPr>
        <w:t>部门划转的转移支付纳入决算，例如矿山生态修复专项资金等。</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（17）住房保障支出77.14万元，占0.6%，较年初预算数增加33.53万元，增长76.9%，主要原因是</w:t>
      </w:r>
      <w:r>
        <w:rPr>
          <w:rFonts w:ascii="Times New Roman" w:hAnsi="方正仿宋_GBK" w:eastAsia="方正仿宋_GBK" w:cs="Times New Roman"/>
          <w:sz w:val="32"/>
          <w:szCs w:val="32"/>
        </w:rPr>
        <w:t>新增调入和新进职工较多和调整基数补缴</w:t>
      </w:r>
      <w:r>
        <w:rPr>
          <w:rFonts w:hint="eastAsia" w:ascii="Times New Roman" w:hAnsi="方正仿宋_GBK" w:eastAsia="方正仿宋_GBK" w:cs="Times New Roman"/>
          <w:sz w:val="32"/>
          <w:szCs w:val="32"/>
        </w:rPr>
        <w:t>职工</w:t>
      </w:r>
      <w:r>
        <w:rPr>
          <w:rFonts w:ascii="Times New Roman" w:hAnsi="方正仿宋_GBK" w:eastAsia="方正仿宋_GBK" w:cs="Times New Roman"/>
          <w:sz w:val="32"/>
          <w:szCs w:val="32"/>
        </w:rPr>
        <w:t>住房公积金。</w:t>
      </w:r>
    </w:p>
    <w:p>
      <w:pPr>
        <w:pStyle w:val="4"/>
        <w:shd w:val="clear" w:color="auto" w:fill="FFFFFF"/>
        <w:spacing w:before="0" w:beforeAutospacing="0" w:after="0" w:afterAutospacing="0" w:line="596" w:lineRule="exact"/>
        <w:ind w:firstLine="640" w:firstLineChars="200"/>
        <w:jc w:val="both"/>
        <w:rPr>
          <w:rFonts w:ascii="Times New Roman" w:hAnsi="Times New Roman" w:cs="Times New Roman"/>
          <w:sz w:val="32"/>
          <w:szCs w:val="32"/>
        </w:rPr>
      </w:pPr>
      <w:r>
        <w:rPr>
          <w:rFonts w:ascii="Times New Roman" w:hAnsi="Times New Roman" w:eastAsia="方正仿宋_GBK" w:cs="Times New Roman"/>
          <w:sz w:val="32"/>
          <w:szCs w:val="32"/>
        </w:rPr>
        <w:t>（18）灾害防治及应急管理支出193.66万元，占1.6%，较年初预算数增加146.66万元，增长312%，主要原因是</w:t>
      </w:r>
      <w:r>
        <w:rPr>
          <w:rFonts w:ascii="Times New Roman" w:hAnsi="方正仿宋_GBK" w:eastAsia="方正仿宋_GBK" w:cs="Times New Roman"/>
          <w:sz w:val="32"/>
          <w:szCs w:val="32"/>
        </w:rPr>
        <w:t>部门划转的转移支付纳入决算，例如地质灾害治理专项资金。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（四）一般公共预算财政拨款基本支出决算情况说明。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2021年度一般公共财政拨款基本支出1,558.58万元。其中：人员经费1,080.50万元，较上年决算数增加139.92万元，增长14.9%，主要原因是2021</w:t>
      </w:r>
      <w:r>
        <w:rPr>
          <w:rFonts w:ascii="Times New Roman" w:hAnsi="方正仿宋_GBK" w:eastAsia="方正仿宋_GBK" w:cs="Times New Roman"/>
          <w:sz w:val="30"/>
          <w:szCs w:val="30"/>
        </w:rPr>
        <w:t>年年中人员调整增加。人员经费用途主要包括人员经费用途主要包括基本工资、津贴补贴、奖金、社会保障缴费、职业年金、机关事业单位基本养老保险缴费、其他工资福利。</w:t>
      </w:r>
      <w:r>
        <w:rPr>
          <w:rFonts w:ascii="Times New Roman" w:hAnsi="Times New Roman" w:eastAsia="方正仿宋_GBK" w:cs="Times New Roman"/>
          <w:sz w:val="32"/>
          <w:szCs w:val="32"/>
        </w:rPr>
        <w:t>公用经费478.09万元，较上年决算数增加118.62万元，增长33%，主要原因是</w:t>
      </w:r>
      <w:r>
        <w:rPr>
          <w:rFonts w:hint="eastAsia" w:ascii="Times New Roman" w:hAnsi="Times New Roman" w:eastAsia="方正仿宋_GBK" w:cs="Times New Roman"/>
          <w:sz w:val="32"/>
          <w:szCs w:val="32"/>
        </w:rPr>
        <w:t>2021年年中人员调整增加，造成公用经费增多。</w:t>
      </w:r>
      <w:r>
        <w:rPr>
          <w:rFonts w:ascii="Times New Roman" w:hAnsi="方正仿宋_GBK" w:eastAsia="方正仿宋_GBK" w:cs="Times New Roman"/>
          <w:sz w:val="30"/>
          <w:szCs w:val="30"/>
        </w:rPr>
        <w:t>公用经费用途主要包括办公费、印刷费、咨询费、手续费、水费、电费、邮电费、差旅费、维修费、租赁费、会议费、培训费、劳务费、公务接待费、公务用车运行维护费、其他交通费、其他商品服务支出。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（五）政府性基金预算收支决算情况说明。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2021年度政府性基金预算财政拨款年初结转结余0.00万元，年末结转结余0.00万元。本年收入775.86万元，较上年决算数增加605.60万元，增长355.7%，主要原因是</w:t>
      </w:r>
      <w:r>
        <w:rPr>
          <w:rFonts w:hint="eastAsia" w:ascii="Times New Roman" w:hAnsi="Times New Roman" w:eastAsia="方正仿宋_GBK" w:cs="Times New Roman"/>
          <w:sz w:val="32"/>
          <w:szCs w:val="32"/>
        </w:rPr>
        <w:t>部门</w:t>
      </w:r>
      <w:r>
        <w:rPr>
          <w:rFonts w:ascii="Times New Roman" w:hAnsi="Times New Roman" w:eastAsia="方正仿宋_GBK" w:cs="Times New Roman"/>
          <w:sz w:val="32"/>
          <w:szCs w:val="32"/>
        </w:rPr>
        <w:t>拨付专项资金。本年支出775.86万元，较上年决算数增加605.60万元，增长355.7%，主要原因是</w:t>
      </w:r>
      <w:r>
        <w:rPr>
          <w:rFonts w:ascii="Times New Roman" w:hAnsi="方正仿宋_GBK" w:eastAsia="方正仿宋_GBK" w:cs="Times New Roman"/>
          <w:sz w:val="32"/>
          <w:szCs w:val="32"/>
        </w:rPr>
        <w:t>部门拨付公路建设专项资金、农房整治提升专项资金。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楷体_GBK" w:cs="Times New Roman"/>
          <w:b w:val="0"/>
          <w:sz w:val="32"/>
          <w:szCs w:val="32"/>
        </w:rPr>
        <w:t>（六）国有资本经营预算财政拨款支出决算情况说明。</w:t>
      </w:r>
    </w:p>
    <w:p>
      <w:pPr>
        <w:pStyle w:val="4"/>
        <w:shd w:val="clear" w:color="auto" w:fill="FFFFFF"/>
        <w:spacing w:before="0" w:beforeAutospacing="0" w:after="0" w:afterAutospacing="0" w:line="596" w:lineRule="exact"/>
        <w:ind w:firstLine="640" w:firstLineChars="200"/>
        <w:jc w:val="both"/>
        <w:rPr>
          <w:rFonts w:ascii="Times New Roman" w:hAnsi="Times New Roman" w:cs="Times New Roman"/>
          <w:sz w:val="32"/>
          <w:szCs w:val="32"/>
        </w:rPr>
      </w:pPr>
      <w:r>
        <w:rPr>
          <w:rFonts w:ascii="Times New Roman" w:hAnsi="方正仿宋_GBK" w:eastAsia="方正仿宋_GBK" w:cs="Times New Roman"/>
          <w:sz w:val="32"/>
          <w:szCs w:val="32"/>
        </w:rPr>
        <w:t>本部门</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年度无国有资本经营预算财政拨款支出。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黑体_GBK" w:cs="Times New Roman"/>
          <w:sz w:val="32"/>
          <w:szCs w:val="32"/>
        </w:rPr>
      </w:pPr>
      <w:r>
        <w:rPr>
          <w:rStyle w:val="7"/>
          <w:rFonts w:ascii="Times New Roman" w:hAnsi="Times New Roman" w:eastAsia="方正黑体_GBK" w:cs="Times New Roman"/>
          <w:b w:val="0"/>
          <w:sz w:val="32"/>
          <w:szCs w:val="32"/>
        </w:rPr>
        <w:t>  三、“三公”经费情况说明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（一）“三公”经费支出总体情况说明。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2021年度“三公”经费支出共计13.05万元，较年初预算数减少3.45万元，下降20.9%，主要原因是</w:t>
      </w:r>
      <w:r>
        <w:rPr>
          <w:rFonts w:ascii="Times New Roman" w:hAnsi="方正仿宋_GBK" w:eastAsia="方正仿宋_GBK" w:cs="Times New Roman"/>
          <w:sz w:val="32"/>
          <w:szCs w:val="32"/>
        </w:rPr>
        <w:t>：一是认真贯彻落实中央</w:t>
      </w:r>
      <w:r>
        <w:rPr>
          <w:rFonts w:hint="eastAsia" w:ascii="Times New Roman" w:hAnsi="Times New Roman" w:eastAsia="方正仿宋_GBK" w:cs="Times New Roman"/>
          <w:sz w:val="32"/>
          <w:szCs w:val="32"/>
          <w:lang w:eastAsia="zh-CN"/>
        </w:rPr>
        <w:t>八项规定</w:t>
      </w:r>
      <w:r>
        <w:rPr>
          <w:rFonts w:ascii="Times New Roman" w:hAnsi="方正仿宋_GBK" w:eastAsia="方正仿宋_GBK" w:cs="Times New Roman"/>
          <w:sz w:val="32"/>
          <w:szCs w:val="32"/>
        </w:rPr>
        <w:t>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未发生因公出国（境）活动。</w:t>
      </w:r>
      <w:r>
        <w:rPr>
          <w:rFonts w:ascii="Times New Roman" w:hAnsi="Times New Roman" w:eastAsia="方正仿宋_GBK" w:cs="Times New Roman"/>
          <w:sz w:val="32"/>
          <w:szCs w:val="32"/>
        </w:rPr>
        <w:t>较上年支出数减少5.64万元，下降30.2%，主要原因是</w:t>
      </w:r>
      <w:r>
        <w:rPr>
          <w:rFonts w:ascii="Times New Roman" w:hAnsi="方正仿宋_GBK" w:eastAsia="方正仿宋_GBK" w:cs="Times New Roman"/>
          <w:sz w:val="32"/>
          <w:szCs w:val="32"/>
        </w:rPr>
        <w:t>一是认真贯彻落实中央</w:t>
      </w:r>
      <w:r>
        <w:rPr>
          <w:rFonts w:hint="eastAsia" w:ascii="Times New Roman" w:hAnsi="Times New Roman" w:eastAsia="方正仿宋_GBK" w:cs="Times New Roman"/>
          <w:sz w:val="32"/>
          <w:szCs w:val="32"/>
          <w:lang w:eastAsia="zh-CN"/>
        </w:rPr>
        <w:t>八项规定</w:t>
      </w:r>
      <w:r>
        <w:rPr>
          <w:rFonts w:ascii="Times New Roman" w:hAnsi="方正仿宋_GBK" w:eastAsia="方正仿宋_GBK" w:cs="Times New Roman"/>
          <w:sz w:val="32"/>
          <w:szCs w:val="32"/>
        </w:rPr>
        <w:t>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年未发生因公出国（境）活动。</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（二）“三公”经费分项支出情况。</w:t>
      </w:r>
      <w:r>
        <w:rPr>
          <w:rFonts w:ascii="Times New Roman" w:hAnsi="Times New Roman" w:eastAsia="方正仿宋_GBK" w:cs="Times New Roman"/>
          <w:sz w:val="32"/>
          <w:szCs w:val="32"/>
        </w:rPr>
        <w:t xml:space="preserve"> </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2021年度本部门因公出国（境）费用0.00万元，主要是2021</w:t>
      </w:r>
      <w:r>
        <w:rPr>
          <w:rFonts w:ascii="Times New Roman" w:hAnsi="方正仿宋_GBK" w:eastAsia="方正仿宋_GBK" w:cs="Times New Roman"/>
          <w:sz w:val="32"/>
          <w:szCs w:val="32"/>
        </w:rPr>
        <w:t>年无因公出国（境）活动</w:t>
      </w:r>
      <w:r>
        <w:rPr>
          <w:rFonts w:ascii="Times New Roman" w:hAnsi="Times New Roman" w:eastAsia="方正仿宋_GBK" w:cs="Times New Roman"/>
          <w:sz w:val="32"/>
          <w:szCs w:val="32"/>
        </w:rPr>
        <w:t>。费用支出较年初预算数减少2.50万元，下降100%，主要原因是2021</w:t>
      </w:r>
      <w:r>
        <w:rPr>
          <w:rFonts w:ascii="Times New Roman" w:hAnsi="方正仿宋_GBK" w:eastAsia="方正仿宋_GBK" w:cs="Times New Roman"/>
          <w:sz w:val="32"/>
          <w:szCs w:val="32"/>
        </w:rPr>
        <w:t>年无因公出国（境）活动</w:t>
      </w:r>
      <w:r>
        <w:rPr>
          <w:rFonts w:ascii="Times New Roman" w:hAnsi="Times New Roman" w:eastAsia="方正仿宋_GBK" w:cs="Times New Roman"/>
          <w:color w:val="FF0000"/>
          <w:sz w:val="32"/>
          <w:szCs w:val="32"/>
        </w:rPr>
        <w:t>。</w:t>
      </w:r>
      <w:r>
        <w:rPr>
          <w:rFonts w:ascii="Times New Roman" w:hAnsi="Times New Roman" w:eastAsia="方正仿宋_GBK" w:cs="Times New Roman"/>
          <w:sz w:val="32"/>
          <w:szCs w:val="32"/>
        </w:rPr>
        <w:t>较上年支出数增加0.00万元，增长</w:t>
      </w:r>
      <w:r>
        <w:rPr>
          <w:rFonts w:hint="eastAsia" w:ascii="Times New Roman" w:hAnsi="Times New Roman" w:eastAsia="方正仿宋_GBK" w:cs="Times New Roman"/>
          <w:sz w:val="32"/>
          <w:szCs w:val="32"/>
        </w:rPr>
        <w:t>0.0</w:t>
      </w:r>
      <w:r>
        <w:rPr>
          <w:rFonts w:ascii="Times New Roman" w:hAnsi="Times New Roman" w:eastAsia="方正仿宋_GBK" w:cs="Times New Roman"/>
          <w:sz w:val="32"/>
          <w:szCs w:val="32"/>
        </w:rPr>
        <w:t>%，主要原因是2021</w:t>
      </w:r>
      <w:r>
        <w:rPr>
          <w:rFonts w:ascii="Times New Roman" w:hAnsi="方正仿宋_GBK" w:eastAsia="方正仿宋_GBK" w:cs="Times New Roman"/>
          <w:sz w:val="32"/>
          <w:szCs w:val="32"/>
        </w:rPr>
        <w:t>年无因公出国（境）活动</w:t>
      </w:r>
      <w:r>
        <w:rPr>
          <w:rFonts w:ascii="Times New Roman" w:hAnsi="Times New Roman" w:eastAsia="方正仿宋_GBK" w:cs="Times New Roman"/>
          <w:color w:val="FF0000"/>
          <w:sz w:val="32"/>
          <w:szCs w:val="32"/>
        </w:rPr>
        <w:t>。</w:t>
      </w:r>
      <w:r>
        <w:rPr>
          <w:rFonts w:ascii="Times New Roman" w:hAnsi="Times New Roman" w:eastAsia="方正仿宋_GBK" w:cs="Times New Roman"/>
          <w:sz w:val="32"/>
          <w:szCs w:val="32"/>
        </w:rPr>
        <w:t>公务车购置费0.00万元，</w:t>
      </w:r>
      <w:r>
        <w:rPr>
          <w:rFonts w:ascii="Times New Roman" w:hAnsi="方正仿宋_GBK" w:eastAsia="方正仿宋_GBK" w:cs="Times New Roman"/>
          <w:sz w:val="32"/>
          <w:szCs w:val="32"/>
        </w:rPr>
        <w:t>主要由于</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年未购置公务用车。</w:t>
      </w:r>
      <w:r>
        <w:rPr>
          <w:rFonts w:ascii="Times New Roman" w:hAnsi="Times New Roman" w:eastAsia="方正仿宋_GBK" w:cs="Times New Roman"/>
          <w:sz w:val="32"/>
          <w:szCs w:val="32"/>
        </w:rPr>
        <w:t>费用支出较年初预算数增加0.00万元，增长0.0%，主要原因是</w:t>
      </w:r>
      <w:r>
        <w:rPr>
          <w:rFonts w:ascii="Times New Roman" w:hAnsi="方正仿宋_GBK" w:eastAsia="方正仿宋_GBK" w:cs="Times New Roman"/>
          <w:sz w:val="32"/>
          <w:szCs w:val="32"/>
        </w:rPr>
        <w:t>主要由于</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年未购置公务用车</w:t>
      </w:r>
      <w:r>
        <w:rPr>
          <w:rFonts w:ascii="Times New Roman" w:hAnsi="Times New Roman" w:eastAsia="方正仿宋_GBK" w:cs="Times New Roman"/>
          <w:sz w:val="32"/>
          <w:szCs w:val="32"/>
        </w:rPr>
        <w:t>。较上年支出数增加0.00万元，增长0.0%，主要原因是</w:t>
      </w:r>
      <w:r>
        <w:rPr>
          <w:rFonts w:ascii="Times New Roman" w:hAnsi="方正仿宋_GBK" w:eastAsia="方正仿宋_GBK" w:cs="Times New Roman"/>
          <w:sz w:val="32"/>
          <w:szCs w:val="32"/>
        </w:rPr>
        <w:t>主要由于</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年未购置公务用车</w:t>
      </w:r>
      <w:r>
        <w:rPr>
          <w:rFonts w:ascii="Times New Roman" w:hAnsi="Times New Roman" w:eastAsia="方正仿宋_GBK" w:cs="Times New Roman"/>
          <w:sz w:val="32"/>
          <w:szCs w:val="32"/>
        </w:rPr>
        <w:t>。</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公务车运行维护费11.37万元，</w:t>
      </w:r>
      <w:r>
        <w:rPr>
          <w:rFonts w:ascii="Times New Roman" w:hAnsi="方正仿宋_GBK" w:eastAsia="方正仿宋_GBK" w:cs="Times New Roman"/>
          <w:sz w:val="32"/>
          <w:szCs w:val="32"/>
        </w:rPr>
        <w:t>主要用于</w:t>
      </w:r>
      <w:r>
        <w:rPr>
          <w:rFonts w:ascii="Times New Roman" w:hAnsi="方正仿宋_GBK" w:eastAsia="方正仿宋_GBK" w:cs="Times New Roman"/>
          <w:sz w:val="32"/>
          <w:szCs w:val="32"/>
          <w:shd w:val="clear" w:color="auto" w:fill="FFFFFF"/>
        </w:rPr>
        <w:t>机要文件交换</w:t>
      </w:r>
      <w:r>
        <w:rPr>
          <w:rFonts w:hint="eastAsia" w:ascii="Times New Roman" w:hAnsi="方正仿宋_GBK" w:eastAsia="方正仿宋_GBK" w:cs="Times New Roman"/>
          <w:sz w:val="32"/>
          <w:szCs w:val="32"/>
          <w:shd w:val="clear" w:color="auto" w:fill="FFFFFF"/>
        </w:rPr>
        <w:t>，</w:t>
      </w:r>
      <w:r>
        <w:rPr>
          <w:rFonts w:ascii="Times New Roman" w:hAnsi="方正仿宋_GBK" w:eastAsia="方正仿宋_GBK" w:cs="Times New Roman"/>
          <w:sz w:val="32"/>
          <w:szCs w:val="32"/>
          <w:shd w:val="clear" w:color="auto" w:fill="FFFFFF"/>
        </w:rPr>
        <w:t>市、区内因公出行、</w:t>
      </w:r>
      <w:r>
        <w:rPr>
          <w:rFonts w:hint="eastAsia" w:ascii="Times New Roman" w:hAnsi="方正仿宋_GBK" w:eastAsia="方正仿宋_GBK" w:cs="Times New Roman"/>
          <w:sz w:val="32"/>
          <w:szCs w:val="32"/>
          <w:shd w:val="clear" w:color="auto" w:fill="FFFFFF"/>
        </w:rPr>
        <w:t>森林防火巡查</w:t>
      </w:r>
      <w:r>
        <w:rPr>
          <w:rFonts w:ascii="Times New Roman" w:hAnsi="方正仿宋_GBK" w:eastAsia="方正仿宋_GBK" w:cs="Times New Roman"/>
          <w:sz w:val="32"/>
          <w:szCs w:val="32"/>
          <w:shd w:val="clear" w:color="auto" w:fill="FFFFFF"/>
        </w:rPr>
        <w:t>等工作所需车辆的燃料费、维修费、过桥过路费、保险费等</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费用支出较年初预算数减少0.63万元，下降5.3%，主要原因是</w:t>
      </w:r>
      <w:r>
        <w:rPr>
          <w:rFonts w:ascii="Times New Roman" w:hAnsi="方正仿宋_GBK" w:eastAsia="方正仿宋_GBK" w:cs="Times New Roman"/>
          <w:sz w:val="32"/>
          <w:szCs w:val="32"/>
        </w:rPr>
        <w:t>进一步落实规范公务车管理要求，</w:t>
      </w:r>
      <w:r>
        <w:rPr>
          <w:rFonts w:ascii="Times New Roman" w:hAnsi="方正仿宋_GBK" w:eastAsia="方正仿宋_GBK" w:cs="Times New Roman"/>
          <w:sz w:val="32"/>
          <w:szCs w:val="32"/>
          <w:shd w:val="clear" w:color="auto" w:fill="FFFFFF"/>
        </w:rPr>
        <w:t>公车运行维护成本下降。</w:t>
      </w:r>
      <w:r>
        <w:rPr>
          <w:rFonts w:ascii="Times New Roman" w:hAnsi="Times New Roman" w:eastAsia="方正仿宋_GBK" w:cs="Times New Roman"/>
          <w:sz w:val="32"/>
          <w:szCs w:val="32"/>
        </w:rPr>
        <w:t>较上年支出数减少5.57万元，下降32.9%，主要原因是</w:t>
      </w:r>
      <w:r>
        <w:rPr>
          <w:rFonts w:ascii="Times New Roman" w:hAnsi="方正仿宋_GBK" w:eastAsia="方正仿宋_GBK" w:cs="Times New Roman"/>
          <w:sz w:val="32"/>
          <w:szCs w:val="32"/>
        </w:rPr>
        <w:t>进一步落实规范公务车管理要求，</w:t>
      </w:r>
      <w:r>
        <w:rPr>
          <w:rFonts w:ascii="Times New Roman" w:hAnsi="方正仿宋_GBK" w:eastAsia="方正仿宋_GBK" w:cs="Times New Roman"/>
          <w:sz w:val="32"/>
          <w:szCs w:val="32"/>
          <w:shd w:val="clear" w:color="auto" w:fill="FFFFFF"/>
        </w:rPr>
        <w:t>公车运行维护成本下降。</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公务接待费1.68万元，</w:t>
      </w:r>
      <w:r>
        <w:rPr>
          <w:rFonts w:ascii="Times New Roman" w:hAnsi="方正仿宋_GBK" w:eastAsia="方正仿宋_GBK" w:cs="Times New Roman"/>
          <w:sz w:val="32"/>
          <w:szCs w:val="32"/>
        </w:rPr>
        <w:t>主要用于接待上级部门到镇指导工作，各项政府大型会议后接待。</w:t>
      </w:r>
      <w:r>
        <w:rPr>
          <w:rFonts w:ascii="Times New Roman" w:hAnsi="Times New Roman" w:eastAsia="方正仿宋_GBK" w:cs="Times New Roman"/>
          <w:sz w:val="32"/>
          <w:szCs w:val="32"/>
        </w:rPr>
        <w:t>费用支出较年初预算数减少0.32万元，下降16%，主要原因是</w:t>
      </w:r>
      <w:r>
        <w:rPr>
          <w:rFonts w:ascii="Times New Roman" w:hAnsi="方正仿宋_GBK" w:eastAsia="方正仿宋_GBK" w:cs="Times New Roman"/>
          <w:sz w:val="32"/>
          <w:szCs w:val="32"/>
          <w:shd w:val="clear" w:color="auto" w:fill="FFFFFF"/>
        </w:rPr>
        <w:t>认真贯彻落实中央</w:t>
      </w:r>
      <w:r>
        <w:rPr>
          <w:rFonts w:hint="eastAsia" w:ascii="Times New Roman" w:hAnsi="Times New Roman" w:eastAsia="方正仿宋_GBK" w:cs="Times New Roman"/>
          <w:sz w:val="32"/>
          <w:szCs w:val="32"/>
          <w:shd w:val="clear" w:color="auto" w:fill="FFFFFF"/>
          <w:lang w:eastAsia="zh-CN"/>
        </w:rPr>
        <w:t>八项规定</w:t>
      </w:r>
      <w:r>
        <w:rPr>
          <w:rFonts w:ascii="Times New Roman" w:hAnsi="方正仿宋_GBK" w:eastAsia="方正仿宋_GBK" w:cs="Times New Roman"/>
          <w:sz w:val="32"/>
          <w:szCs w:val="32"/>
          <w:shd w:val="clear" w:color="auto" w:fill="FFFFFF"/>
        </w:rPr>
        <w:t>精神和厉行节约要求，按照只减不增的要求从严控制三公经费</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较上年支出数减少0.07万元，下降4%，主要原因是</w:t>
      </w:r>
      <w:r>
        <w:rPr>
          <w:rFonts w:ascii="Times New Roman" w:hAnsi="方正仿宋_GBK" w:eastAsia="方正仿宋_GBK" w:cs="Times New Roman"/>
          <w:sz w:val="32"/>
          <w:szCs w:val="32"/>
          <w:shd w:val="clear" w:color="auto" w:fill="FFFFFF"/>
        </w:rPr>
        <w:t>认真贯彻落实中央</w:t>
      </w:r>
      <w:r>
        <w:rPr>
          <w:rFonts w:hint="eastAsia" w:ascii="Times New Roman" w:hAnsi="Times New Roman" w:eastAsia="方正仿宋_GBK" w:cs="Times New Roman"/>
          <w:sz w:val="32"/>
          <w:szCs w:val="32"/>
          <w:shd w:val="clear" w:color="auto" w:fill="FFFFFF"/>
          <w:lang w:eastAsia="zh-CN"/>
        </w:rPr>
        <w:t>八项规定</w:t>
      </w:r>
      <w:r>
        <w:rPr>
          <w:rFonts w:ascii="Times New Roman" w:hAnsi="方正仿宋_GBK" w:eastAsia="方正仿宋_GBK" w:cs="Times New Roman"/>
          <w:sz w:val="32"/>
          <w:szCs w:val="32"/>
          <w:shd w:val="clear" w:color="auto" w:fill="FFFFFF"/>
        </w:rPr>
        <w:t>精神和厉行节约要求，按照只减不增的要求从严控制三公经费。</w:t>
      </w:r>
    </w:p>
    <w:p>
      <w:pPr>
        <w:pStyle w:val="4"/>
        <w:shd w:val="clear" w:color="auto" w:fill="FFFFFF"/>
        <w:spacing w:before="0" w:beforeAutospacing="0" w:after="0" w:afterAutospacing="0" w:line="596" w:lineRule="exact"/>
        <w:ind w:firstLine="480" w:firstLineChars="15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（三）“三公”经费实物量情况。</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2021年度本部门因公出国（境）共计0个团组，0人；公务用车购置0辆，公务车保有量为6辆；国内公务接待15批次192人，其中：国内外事接待0批次，0人；国（境</w:t>
      </w:r>
      <w:bookmarkStart w:id="0" w:name="_GoBack"/>
      <w:bookmarkEnd w:id="0"/>
      <w:r>
        <w:rPr>
          <w:rFonts w:ascii="Times New Roman" w:hAnsi="Times New Roman" w:eastAsia="方正仿宋_GBK" w:cs="Times New Roman"/>
          <w:sz w:val="32"/>
          <w:szCs w:val="32"/>
        </w:rPr>
        <w:t>）外公务接待0批次，0人。2021年本部门人均接待费87.50元，车均购置费0.00万元，车均维护费1.90万元。</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四、其他需要说明的事项</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（一）一般公共预算财政拨款会议费和培训费情况说明。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本年度会议费支出12.13万元，较上年决算数减少0.46万元，下降3.7%，主要原因是</w:t>
      </w:r>
      <w:r>
        <w:rPr>
          <w:rFonts w:ascii="Times New Roman" w:hAnsi="方正仿宋_GBK" w:eastAsia="方正仿宋_GBK" w:cs="Times New Roman"/>
          <w:sz w:val="32"/>
          <w:szCs w:val="32"/>
        </w:rPr>
        <w:t>认真贯彻落实中央</w:t>
      </w:r>
      <w:r>
        <w:rPr>
          <w:rFonts w:hint="eastAsia" w:ascii="Times New Roman" w:hAnsi="Times New Roman" w:eastAsia="方正仿宋_GBK" w:cs="Times New Roman"/>
          <w:sz w:val="32"/>
          <w:szCs w:val="32"/>
          <w:lang w:eastAsia="zh-CN"/>
        </w:rPr>
        <w:t>八项规定</w:t>
      </w:r>
      <w:r>
        <w:rPr>
          <w:rFonts w:ascii="Times New Roman" w:hAnsi="方正仿宋_GBK" w:eastAsia="方正仿宋_GBK" w:cs="Times New Roman"/>
          <w:sz w:val="32"/>
          <w:szCs w:val="32"/>
        </w:rPr>
        <w:t>精神和厉行节约要求，按照只减不增的要求从严控制三公经费</w:t>
      </w:r>
      <w:r>
        <w:rPr>
          <w:rFonts w:ascii="Times New Roman" w:hAnsi="Times New Roman" w:eastAsia="方正仿宋_GBK" w:cs="Times New Roman"/>
          <w:sz w:val="32"/>
          <w:szCs w:val="32"/>
        </w:rPr>
        <w:t>。本年度培训费支出2.17万元，较上年决算数减少0.04万元，下降1.8%，主要原因是</w:t>
      </w:r>
      <w:r>
        <w:rPr>
          <w:rFonts w:ascii="Times New Roman" w:hAnsi="方正仿宋_GBK" w:eastAsia="方正仿宋_GBK" w:cs="Times New Roman"/>
          <w:sz w:val="32"/>
          <w:szCs w:val="32"/>
        </w:rPr>
        <w:t>认真贯彻落实中央</w:t>
      </w:r>
      <w:r>
        <w:rPr>
          <w:rFonts w:hint="eastAsia" w:ascii="Times New Roman" w:hAnsi="Times New Roman" w:eastAsia="方正仿宋_GBK" w:cs="Times New Roman"/>
          <w:sz w:val="32"/>
          <w:szCs w:val="32"/>
          <w:lang w:eastAsia="zh-CN"/>
        </w:rPr>
        <w:t>八项规定</w:t>
      </w:r>
      <w:r>
        <w:rPr>
          <w:rFonts w:ascii="Times New Roman" w:hAnsi="方正仿宋_GBK" w:eastAsia="方正仿宋_GBK" w:cs="Times New Roman"/>
          <w:sz w:val="32"/>
          <w:szCs w:val="32"/>
        </w:rPr>
        <w:t>精神和厉行节约要求，按照只减不增的要求从严控制三公经费</w:t>
      </w:r>
      <w:r>
        <w:rPr>
          <w:rFonts w:ascii="Times New Roman" w:hAnsi="Times New Roman" w:eastAsia="方正仿宋_GBK" w:cs="Times New Roman"/>
          <w:sz w:val="32"/>
          <w:szCs w:val="32"/>
        </w:rPr>
        <w:t>。</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（二）机关运行经费情况说明。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2021</w:t>
      </w:r>
      <w:r>
        <w:rPr>
          <w:rFonts w:ascii="Times New Roman" w:hAnsi="方正仿宋_GBK" w:eastAsia="方正仿宋_GBK" w:cs="Times New Roman"/>
          <w:sz w:val="32"/>
          <w:szCs w:val="32"/>
        </w:rPr>
        <w:t>年度本部门机关运行经费支出</w:t>
      </w:r>
      <w:r>
        <w:rPr>
          <w:rFonts w:ascii="Times New Roman" w:hAnsi="Times New Roman" w:eastAsia="方正仿宋_GBK" w:cs="Times New Roman"/>
          <w:sz w:val="32"/>
          <w:szCs w:val="32"/>
        </w:rPr>
        <w:t>410.46</w:t>
      </w:r>
      <w:r>
        <w:rPr>
          <w:rFonts w:ascii="Times New Roman" w:hAnsi="方正仿宋_GBK" w:eastAsia="方正仿宋_GBK" w:cs="Times New Roman"/>
          <w:sz w:val="32"/>
          <w:szCs w:val="32"/>
        </w:rPr>
        <w:t>万元，机关运行经费主要用于开支</w:t>
      </w:r>
      <w:r>
        <w:rPr>
          <w:rFonts w:ascii="Times New Roman" w:hAnsi="方正仿宋_GBK" w:eastAsia="方正仿宋_GBK" w:cs="Times New Roman"/>
          <w:sz w:val="32"/>
          <w:szCs w:val="32"/>
          <w:shd w:val="clear" w:color="auto" w:fill="FFFFFF"/>
        </w:rPr>
        <w:t>办公费、印刷费、咨询费、手续费、水费、电费、邮电费、差旅费、维修费、租赁费、会议费、培训费、劳务费、公务接待费、公务用车运行维护费、其他交通费、其他商品服务支出。</w:t>
      </w:r>
      <w:r>
        <w:rPr>
          <w:rFonts w:ascii="Times New Roman" w:hAnsi="方正仿宋_GBK" w:eastAsia="方正仿宋_GBK" w:cs="Times New Roman"/>
          <w:sz w:val="32"/>
          <w:szCs w:val="32"/>
        </w:rPr>
        <w:t>机关运行经费较上年决算数增加</w:t>
      </w:r>
      <w:r>
        <w:rPr>
          <w:rFonts w:ascii="Times New Roman" w:hAnsi="Times New Roman" w:eastAsia="方正仿宋_GBK" w:cs="Times New Roman"/>
          <w:sz w:val="32"/>
          <w:szCs w:val="32"/>
        </w:rPr>
        <w:t>91.30</w:t>
      </w:r>
      <w:r>
        <w:rPr>
          <w:rFonts w:ascii="Times New Roman" w:hAnsi="方正仿宋_GBK" w:eastAsia="方正仿宋_GBK" w:cs="Times New Roman"/>
          <w:sz w:val="32"/>
          <w:szCs w:val="32"/>
        </w:rPr>
        <w:t>万元，</w:t>
      </w:r>
      <w:r>
        <w:rPr>
          <w:rFonts w:hint="eastAsia" w:ascii="Times New Roman" w:hAnsi="方正仿宋_GBK" w:eastAsia="方正仿宋_GBK" w:cs="Times New Roman"/>
          <w:sz w:val="32"/>
          <w:szCs w:val="32"/>
        </w:rPr>
        <w:t>增长</w:t>
      </w:r>
      <w:r>
        <w:rPr>
          <w:rFonts w:ascii="Times New Roman" w:hAnsi="Times New Roman" w:eastAsia="方正仿宋_GBK" w:cs="Times New Roman"/>
          <w:sz w:val="32"/>
          <w:szCs w:val="32"/>
        </w:rPr>
        <w:t>28.6%</w:t>
      </w:r>
      <w:r>
        <w:rPr>
          <w:rFonts w:ascii="Times New Roman" w:hAnsi="方正仿宋_GBK" w:eastAsia="方正仿宋_GBK" w:cs="Times New Roman"/>
          <w:sz w:val="32"/>
          <w:szCs w:val="32"/>
        </w:rPr>
        <w:t>，主要原因：一是认真贯彻落实中央</w:t>
      </w:r>
      <w:r>
        <w:rPr>
          <w:rFonts w:hint="eastAsia" w:ascii="Times New Roman" w:hAnsi="Times New Roman" w:eastAsia="方正仿宋_GBK" w:cs="Times New Roman"/>
          <w:sz w:val="32"/>
          <w:szCs w:val="32"/>
          <w:lang w:eastAsia="zh-CN"/>
        </w:rPr>
        <w:t>八项规定</w:t>
      </w:r>
      <w:r>
        <w:rPr>
          <w:rFonts w:ascii="Times New Roman" w:hAnsi="方正仿宋_GBK" w:eastAsia="方正仿宋_GBK" w:cs="Times New Roman"/>
          <w:sz w:val="32"/>
          <w:szCs w:val="32"/>
        </w:rPr>
        <w:t>精神和厉行节约要求，按照只减不增的要求从严控制三公经费，全年实际支出较预算和上年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年没有因公出国（境）活动</w:t>
      </w:r>
      <w:r>
        <w:rPr>
          <w:rFonts w:hint="eastAsia" w:ascii="Times New Roman" w:hAnsi="方正仿宋_GBK" w:eastAsia="方正仿宋_GBK" w:cs="Times New Roman"/>
          <w:sz w:val="32"/>
          <w:szCs w:val="32"/>
        </w:rPr>
        <w:t>；五是2021年工作人员较上年增多，造成机关运行经费较上年增多。</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（三）国有资产占用情况说明。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截至2021年12月31日，本部门共有车辆6辆，其中，副部（省）级及以上领导用车0辆、主要领导干部用车0辆、机要通信用车1辆、应急保障用车3辆、执法执勤用车0辆，特种专业技术用车2辆，离退休干部用车0辆，其他用车0辆。单价50万元（含）以上通用设备2台（套），单价100万元（含）以上专用设备0台（套）。</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（四）政府采购支出情况说明。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2021年度本部门政府采购支出总额7,111.16万元，其中：政府采购货物支出89.48万元、政府采购工程支出5,743.76万元、政府采购服务支出1,277.92万元。授予中小企业合同金额5,926.97万元，占政府采购支出总额的83.3%，其中：授予小微企业合同金额5,866.54万元，占政府采购支出总额的82.5%。主要用于采购中梁·都市村庄农房整治提升项目（中井路路口片区60栋）、庆丰山村农房整治提升二期设计、中梁镇松材线虫病死松树除治服务、清扫保洁等。</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黑体_GBK" w:cs="Times New Roman"/>
          <w:sz w:val="32"/>
          <w:szCs w:val="32"/>
        </w:rPr>
      </w:pPr>
      <w:r>
        <w:rPr>
          <w:rStyle w:val="7"/>
          <w:rFonts w:ascii="Times New Roman" w:hAnsi="Times New Roman" w:eastAsia="方正黑体_GBK" w:cs="Times New Roman"/>
          <w:b w:val="0"/>
          <w:sz w:val="32"/>
          <w:szCs w:val="32"/>
        </w:rPr>
        <w:t>五、预算绩效管理情况说明</w:t>
      </w:r>
    </w:p>
    <w:p>
      <w:pPr>
        <w:pStyle w:val="4"/>
        <w:shd w:val="clear" w:color="auto" w:fill="FFFFFF"/>
        <w:spacing w:before="0" w:beforeAutospacing="0" w:after="0" w:afterAutospacing="0" w:line="596" w:lineRule="exact"/>
        <w:ind w:firstLine="640" w:firstLineChars="200"/>
        <w:jc w:val="both"/>
        <w:rPr>
          <w:rStyle w:val="7"/>
          <w:rFonts w:hint="eastAsia" w:ascii="Times New Roman" w:hAnsi="Times New Roman" w:eastAsia="方正仿宋_GBK" w:cs="Times New Roman"/>
          <w:b w:val="0"/>
          <w:sz w:val="32"/>
          <w:szCs w:val="32"/>
          <w:lang w:val="en-US" w:eastAsia="zh-CN"/>
        </w:rPr>
      </w:pPr>
      <w:r>
        <w:rPr>
          <w:rStyle w:val="7"/>
          <w:rFonts w:hint="eastAsia" w:ascii="Times New Roman" w:hAnsi="Times New Roman" w:eastAsia="方正仿宋_GBK" w:cs="Times New Roman"/>
          <w:b w:val="0"/>
          <w:sz w:val="32"/>
          <w:szCs w:val="32"/>
          <w:lang w:val="en-US" w:eastAsia="zh-CN"/>
        </w:rPr>
        <w:t>(一）</w:t>
      </w:r>
      <w:r>
        <w:rPr>
          <w:rStyle w:val="7"/>
          <w:rFonts w:hint="eastAsia" w:ascii="方正楷体_GBK" w:hAnsi="方正楷体_GBK" w:eastAsia="方正楷体_GBK" w:cs="方正楷体_GBK"/>
          <w:b w:val="0"/>
          <w:sz w:val="32"/>
          <w:szCs w:val="32"/>
          <w:lang w:val="en-US" w:eastAsia="zh-CN"/>
        </w:rPr>
        <w:t>预算绩效管理工作开展情况：</w:t>
      </w:r>
      <w:r>
        <w:rPr>
          <w:rStyle w:val="7"/>
          <w:rFonts w:ascii="Times New Roman" w:hAnsi="Times New Roman" w:eastAsia="方正仿宋_GBK" w:cs="Times New Roman"/>
          <w:b w:val="0"/>
          <w:sz w:val="32"/>
          <w:szCs w:val="32"/>
        </w:rPr>
        <w:t>根据预算绩效管理要求，我单位</w:t>
      </w:r>
      <w:r>
        <w:rPr>
          <w:rStyle w:val="7"/>
          <w:rFonts w:hint="eastAsia" w:ascii="Times New Roman" w:hAnsi="Times New Roman" w:eastAsia="方正仿宋_GBK" w:cs="Times New Roman"/>
          <w:b w:val="0"/>
          <w:sz w:val="32"/>
          <w:szCs w:val="32"/>
          <w:lang w:eastAsia="zh-CN"/>
        </w:rPr>
        <w:t>对部门整体和</w:t>
      </w:r>
      <w:r>
        <w:rPr>
          <w:rStyle w:val="7"/>
          <w:rFonts w:hint="eastAsia" w:ascii="Times New Roman" w:hAnsi="Times New Roman" w:eastAsia="方正仿宋_GBK" w:cs="Times New Roman"/>
          <w:b w:val="0"/>
          <w:sz w:val="32"/>
          <w:szCs w:val="32"/>
          <w:lang w:val="en-US" w:eastAsia="zh-CN"/>
        </w:rPr>
        <w:t>19个项目开展了绩效自评，其中，以自评表形式开展自评19项，涉及资金11094.93万元；以委托第三方出具报告的方式开展绩效评价0项，涉及资金0元。</w:t>
      </w:r>
    </w:p>
    <w:tbl>
      <w:tblPr>
        <w:tblStyle w:val="5"/>
        <w:tblW w:w="9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6"/>
        <w:gridCol w:w="1369"/>
        <w:gridCol w:w="527"/>
        <w:gridCol w:w="1397"/>
        <w:gridCol w:w="555"/>
        <w:gridCol w:w="664"/>
        <w:gridCol w:w="649"/>
        <w:gridCol w:w="644"/>
        <w:gridCol w:w="802"/>
        <w:gridCol w:w="735"/>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6" w:hRule="atLeast"/>
        </w:trPr>
        <w:tc>
          <w:tcPr>
            <w:tcW w:w="9340" w:type="dxa"/>
            <w:gridSpan w:val="11"/>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2021年度部门整体预算支出绩效自评表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2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沙坪坝区中梁镇人民政府</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 科室</w:t>
            </w:r>
          </w:p>
        </w:tc>
        <w:tc>
          <w:tcPr>
            <w:tcW w:w="13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预算科</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自评总分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（分）</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杜晓琳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17830667202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项目资金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全年（调整）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预算数</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执行率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执行率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执行率得分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3"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701.51 </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11094.93 </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11094.93 </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年度绩效目标</w:t>
            </w:r>
          </w:p>
        </w:tc>
        <w:tc>
          <w:tcPr>
            <w:tcW w:w="32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年初绩效目标</w:t>
            </w:r>
          </w:p>
        </w:tc>
        <w:tc>
          <w:tcPr>
            <w:tcW w:w="25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全年（调整）绩效目标</w:t>
            </w:r>
          </w:p>
        </w:tc>
        <w:tc>
          <w:tcPr>
            <w:tcW w:w="2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93" w:type="dxa"/>
            <w:gridSpan w:val="3"/>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中梁镇人民政府2021年预算项目资金701.51万元，主要用于清扫保洁及垃圾清运，绿化管护，市政设施管护，农村环境长效保洁，农贸市场长效管护及公厕管护，市政协管员工资，社会事务支出，应急管理及安全支出，违法建筑整治，农业农村工作，基层党建，辖区人居环境整治，宣传，人大工作，文体教育经费、武装及征兵工作等项目支出。我镇将厉行节约,项目专款专用，发挥财政资金的最大效益。实现乡村振兴，提升人民群众幸福感。</w:t>
            </w:r>
          </w:p>
        </w:tc>
        <w:tc>
          <w:tcPr>
            <w:tcW w:w="2512" w:type="dxa"/>
            <w:gridSpan w:val="4"/>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2021年决算项目资金11094.93万元。增加资金主要是用于打造乡村振兴示范带农房整治提升、周边绿化、污水处理及生态修复项目，这些项目资金主要来源于上级专项拨款。调整后主要目标1.强化公共管理职能，维护公共基础设施，做好城区环卫管护、市政管护、园林绿化、公厕管护、农村环卫管护等市政维护项目，逐步减少存量违法建筑，促进市政设施精细化管理，不断提高市政服务品质，助力乡村振兴，满足辖区人民群众日益增长的美好生活需要；2.推进基层民主，加强基层组织建设，建立党群工作站，促进党建带群建工作机制。3.强化公共服务职能，完善社会救助、优抚安置、医疗救助等社会保障体系，加强镇对村社区的监督管理，帮助村社区完成两委换届后的培训等工作。4.维护农村和谐稳定，改善农村人居环境，建设美丽宜居村庄，开展“一化二改三不见”专项行动，扎实推进农村人居环境整治，通过持续深入的治理改善，打造农村群众家门口的风景；5.夯实安全工作基础，加强森林防火、生态建设等安全监督管理，建立健全隐患排查治理体系和安全预防控制体系。6、全年人大、政协会议按节点推进，真正做到代表为人民服务。7.丰富群众文化体育活动，重视辖区教育工作。</w:t>
            </w:r>
          </w:p>
        </w:tc>
        <w:tc>
          <w:tcPr>
            <w:tcW w:w="27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基本完成全年目标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93" w:type="dxa"/>
            <w:gridSpan w:val="3"/>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512" w:type="dxa"/>
            <w:gridSpan w:val="4"/>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27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93" w:type="dxa"/>
            <w:gridSpan w:val="3"/>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512" w:type="dxa"/>
            <w:gridSpan w:val="4"/>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27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1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93" w:type="dxa"/>
            <w:gridSpan w:val="3"/>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512" w:type="dxa"/>
            <w:gridSpan w:val="4"/>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27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1"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指标名称</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单位</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性质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指标值</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调整后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指标值</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完成值</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得分系数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指标权重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指标得分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（分）</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核心指标      （是/否）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回复处置率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任务完成率</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pStyle w:val="4"/>
        <w:shd w:val="clear" w:color="auto" w:fill="FFFFFF"/>
        <w:spacing w:before="0" w:beforeAutospacing="0" w:after="0" w:afterAutospacing="0" w:line="596" w:lineRule="exact"/>
        <w:ind w:firstLine="640" w:firstLineChars="200"/>
        <w:jc w:val="both"/>
        <w:rPr>
          <w:rStyle w:val="7"/>
          <w:rFonts w:hint="eastAsia" w:ascii="Times New Roman" w:hAnsi="Times New Roman" w:eastAsia="方正仿宋_GBK" w:cs="Times New Roman"/>
          <w:b w:val="0"/>
          <w:sz w:val="32"/>
          <w:szCs w:val="32"/>
          <w:lang w:val="en-US" w:eastAsia="zh-CN"/>
        </w:rPr>
      </w:pPr>
    </w:p>
    <w:p>
      <w:pPr>
        <w:pStyle w:val="4"/>
        <w:numPr>
          <w:ilvl w:val="0"/>
          <w:numId w:val="0"/>
        </w:numPr>
        <w:shd w:val="clear" w:color="auto" w:fill="FFFFFF"/>
        <w:spacing w:before="0" w:beforeAutospacing="0" w:after="0" w:afterAutospacing="0" w:line="596" w:lineRule="exact"/>
        <w:jc w:val="both"/>
        <w:rPr>
          <w:rStyle w:val="7"/>
          <w:rFonts w:hint="eastAsia" w:ascii="方正楷体_GBK" w:hAnsi="方正楷体_GBK" w:eastAsia="方正楷体_GBK" w:cs="方正楷体_GBK"/>
          <w:b w:val="0"/>
          <w:sz w:val="32"/>
          <w:szCs w:val="32"/>
          <w:lang w:eastAsia="zh-CN"/>
        </w:rPr>
      </w:pPr>
    </w:p>
    <w:p>
      <w:pPr>
        <w:pStyle w:val="4"/>
        <w:numPr>
          <w:ilvl w:val="0"/>
          <w:numId w:val="1"/>
        </w:numPr>
        <w:shd w:val="clear" w:color="auto" w:fill="FFFFFF"/>
        <w:spacing w:before="0" w:beforeAutospacing="0" w:after="0" w:afterAutospacing="0" w:line="596" w:lineRule="exact"/>
        <w:ind w:firstLine="640" w:firstLineChars="200"/>
        <w:jc w:val="both"/>
        <w:rPr>
          <w:rStyle w:val="7"/>
          <w:rFonts w:hint="eastAsia" w:ascii="方正楷体_GBK" w:hAnsi="方正楷体_GBK" w:eastAsia="方正楷体_GBK" w:cs="方正楷体_GBK"/>
          <w:b w:val="0"/>
          <w:sz w:val="32"/>
          <w:szCs w:val="32"/>
          <w:lang w:eastAsia="zh-CN"/>
        </w:rPr>
      </w:pPr>
      <w:r>
        <w:rPr>
          <w:rStyle w:val="7"/>
          <w:rFonts w:hint="eastAsia" w:ascii="方正楷体_GBK" w:hAnsi="方正楷体_GBK" w:eastAsia="方正楷体_GBK" w:cs="方正楷体_GBK"/>
          <w:b w:val="0"/>
          <w:sz w:val="32"/>
          <w:szCs w:val="32"/>
          <w:lang w:eastAsia="zh-CN"/>
        </w:rPr>
        <w:t>绩效自评结果</w:t>
      </w:r>
    </w:p>
    <w:p>
      <w:pPr>
        <w:pStyle w:val="4"/>
        <w:numPr>
          <w:ilvl w:val="0"/>
          <w:numId w:val="0"/>
        </w:numPr>
        <w:shd w:val="clear" w:color="auto" w:fill="FFFFFF"/>
        <w:spacing w:before="0" w:beforeAutospacing="0" w:after="0" w:afterAutospacing="0" w:line="596" w:lineRule="exact"/>
        <w:ind w:firstLine="640" w:firstLineChars="200"/>
        <w:jc w:val="both"/>
        <w:rPr>
          <w:rStyle w:val="7"/>
          <w:rFonts w:hint="eastAsia" w:ascii="方正仿宋_GBK" w:hAnsi="方正仿宋_GBK" w:eastAsia="方正仿宋_GBK" w:cs="方正仿宋_GBK"/>
          <w:b w:val="0"/>
          <w:sz w:val="32"/>
          <w:szCs w:val="32"/>
          <w:lang w:val="en-US" w:eastAsia="zh-CN"/>
        </w:rPr>
      </w:pPr>
      <w:r>
        <w:rPr>
          <w:rStyle w:val="7"/>
          <w:rFonts w:hint="eastAsia" w:ascii="方正仿宋_GBK" w:hAnsi="方正仿宋_GBK" w:eastAsia="方正仿宋_GBK" w:cs="方正仿宋_GBK"/>
          <w:b w:val="0"/>
          <w:sz w:val="32"/>
          <w:szCs w:val="32"/>
          <w:lang w:val="en-US" w:eastAsia="zh-CN"/>
        </w:rPr>
        <w:t>1.绩效目标自评表</w:t>
      </w:r>
    </w:p>
    <w:p>
      <w:pPr>
        <w:pStyle w:val="4"/>
        <w:numPr>
          <w:ilvl w:val="0"/>
          <w:numId w:val="0"/>
        </w:numPr>
        <w:shd w:val="clear" w:color="auto" w:fill="FFFFFF"/>
        <w:adjustRightInd/>
        <w:snapToGrid/>
        <w:spacing w:before="0" w:beforeAutospacing="0" w:after="0" w:afterAutospacing="0" w:line="596" w:lineRule="exact"/>
        <w:ind w:firstLine="640" w:firstLineChars="200"/>
        <w:jc w:val="both"/>
        <w:rPr>
          <w:rStyle w:val="7"/>
          <w:rFonts w:hint="eastAsia" w:ascii="方正仿宋_GBK" w:hAnsi="方正仿宋_GBK" w:eastAsia="方正仿宋_GBK" w:cs="方正仿宋_GBK"/>
          <w:b w:val="0"/>
          <w:sz w:val="32"/>
          <w:szCs w:val="32"/>
          <w:lang w:val="en-US" w:eastAsia="zh-CN"/>
        </w:rPr>
      </w:pPr>
      <w:r>
        <w:rPr>
          <w:rStyle w:val="7"/>
          <w:rFonts w:hint="eastAsia" w:ascii="方正仿宋_GBK" w:hAnsi="方正仿宋_GBK" w:eastAsia="方正仿宋_GBK" w:cs="方正仿宋_GBK"/>
          <w:b w:val="0"/>
          <w:sz w:val="32"/>
          <w:szCs w:val="32"/>
          <w:lang w:val="en-US" w:eastAsia="zh-CN"/>
        </w:rPr>
        <w:t>（1）农林水支出。2021年我部门对农林水支出项目开展了绩效评价，涉及年初预算74.8万元，全年调整预算6166.01万元，执行率100%。项目内容主要是用于农村人居环境整治、森林防火、防旱抗旱等。</w:t>
      </w:r>
    </w:p>
    <w:tbl>
      <w:tblPr>
        <w:tblStyle w:val="5"/>
        <w:tblW w:w="8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1121"/>
        <w:gridCol w:w="676"/>
        <w:gridCol w:w="1052"/>
        <w:gridCol w:w="686"/>
        <w:gridCol w:w="703"/>
        <w:gridCol w:w="843"/>
        <w:gridCol w:w="729"/>
        <w:gridCol w:w="932"/>
        <w:gridCol w:w="819"/>
        <w:gridCol w:w="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7" w:hRule="atLeast"/>
        </w:trPr>
        <w:tc>
          <w:tcPr>
            <w:tcW w:w="8970" w:type="dxa"/>
            <w:gridSpan w:val="11"/>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50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自评总分（分)</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trPr>
        <w:tc>
          <w:tcPr>
            <w:tcW w:w="67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5081" w:type="dxa"/>
            <w:gridSpan w:val="6"/>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中梁镇人民政府</w:t>
            </w:r>
          </w:p>
        </w:tc>
        <w:tc>
          <w:tcPr>
            <w:tcW w:w="1661" w:type="dxa"/>
            <w:gridSpan w:val="2"/>
            <w:tcBorders>
              <w:top w:val="single" w:color="000000" w:sz="4" w:space="0"/>
              <w:left w:val="single" w:color="000000" w:sz="4" w:space="0"/>
              <w:bottom w:val="single" w:color="00B0F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联系人及电话</w:t>
            </w:r>
          </w:p>
        </w:tc>
        <w:tc>
          <w:tcPr>
            <w:tcW w:w="1553" w:type="dxa"/>
            <w:gridSpan w:val="2"/>
            <w:tcBorders>
              <w:top w:val="single" w:color="000000" w:sz="4" w:space="0"/>
              <w:left w:val="single" w:color="000000" w:sz="4" w:space="0"/>
              <w:bottom w:val="single" w:color="00B0F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杜晓琳17830667202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6" w:hRule="atLeast"/>
        </w:trPr>
        <w:tc>
          <w:tcPr>
            <w:tcW w:w="675" w:type="dxa"/>
            <w:vMerge w:val="restart"/>
            <w:tcBorders>
              <w:top w:val="single" w:color="000000" w:sz="4"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121" w:type="dxa"/>
            <w:tcBorders>
              <w:top w:val="single" w:color="FF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728" w:type="dxa"/>
            <w:gridSpan w:val="2"/>
            <w:tcBorders>
              <w:top w:val="single" w:color="FF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2232" w:type="dxa"/>
            <w:gridSpan w:val="3"/>
            <w:tcBorders>
              <w:top w:val="single" w:color="FF0000" w:sz="12"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全年（调整）预算数</w:t>
            </w:r>
          </w:p>
        </w:tc>
        <w:tc>
          <w:tcPr>
            <w:tcW w:w="166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81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734" w:type="dxa"/>
            <w:tcBorders>
              <w:top w:val="single" w:color="00B0F0" w:sz="12"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执行率得分（分)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4" w:hRule="atLeast"/>
        </w:trPr>
        <w:tc>
          <w:tcPr>
            <w:tcW w:w="675" w:type="dxa"/>
            <w:vMerge w:val="continue"/>
            <w:tcBorders>
              <w:top w:val="single" w:color="000000" w:sz="4" w:space="0"/>
              <w:left w:val="single" w:color="000000" w:sz="4" w:space="0"/>
              <w:bottom w:val="single" w:color="000000" w:sz="4" w:space="0"/>
              <w:right w:val="single" w:color="FF0000" w:sz="12"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2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w:t>
            </w:r>
          </w:p>
        </w:tc>
        <w:tc>
          <w:tcPr>
            <w:tcW w:w="2232" w:type="dxa"/>
            <w:gridSpan w:val="3"/>
            <w:tcBorders>
              <w:top w:val="single" w:color="000000" w:sz="4"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6166.01</w:t>
            </w:r>
          </w:p>
        </w:tc>
        <w:tc>
          <w:tcPr>
            <w:tcW w:w="166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6166.01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34" w:type="dxa"/>
            <w:tcBorders>
              <w:top w:val="single" w:color="000000" w:sz="4"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3" w:hRule="atLeast"/>
        </w:trPr>
        <w:tc>
          <w:tcPr>
            <w:tcW w:w="675" w:type="dxa"/>
            <w:vMerge w:val="continue"/>
            <w:tcBorders>
              <w:top w:val="single" w:color="000000" w:sz="4" w:space="0"/>
              <w:left w:val="single" w:color="000000" w:sz="4" w:space="0"/>
              <w:bottom w:val="single" w:color="000000" w:sz="4" w:space="0"/>
              <w:right w:val="single" w:color="FF0000" w:sz="12"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2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其中：①部门预算</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w:t>
            </w:r>
          </w:p>
        </w:tc>
        <w:tc>
          <w:tcPr>
            <w:tcW w:w="2232" w:type="dxa"/>
            <w:gridSpan w:val="3"/>
            <w:tcBorders>
              <w:top w:val="single" w:color="000000" w:sz="4"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w:t>
            </w:r>
          </w:p>
        </w:tc>
        <w:tc>
          <w:tcPr>
            <w:tcW w:w="72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其中：①本单位实际支出</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6166.01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34" w:type="dxa"/>
            <w:tcBorders>
              <w:top w:val="single" w:color="000000" w:sz="4"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8" w:hRule="atLeast"/>
        </w:trPr>
        <w:tc>
          <w:tcPr>
            <w:tcW w:w="675" w:type="dxa"/>
            <w:vMerge w:val="continue"/>
            <w:tcBorders>
              <w:top w:val="single" w:color="000000" w:sz="4" w:space="0"/>
              <w:left w:val="single" w:color="000000" w:sz="4" w:space="0"/>
              <w:bottom w:val="single" w:color="000000" w:sz="4" w:space="0"/>
              <w:right w:val="single" w:color="FF0000" w:sz="12"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21" w:type="dxa"/>
            <w:tcBorders>
              <w:top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②其他部门指标调入</w:t>
            </w:r>
          </w:p>
        </w:tc>
        <w:tc>
          <w:tcPr>
            <w:tcW w:w="676" w:type="dxa"/>
            <w:tcBorders>
              <w:top w:val="single" w:color="000000" w:sz="4" w:space="0"/>
              <w:left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来源单位</w:t>
            </w:r>
          </w:p>
        </w:tc>
        <w:tc>
          <w:tcPr>
            <w:tcW w:w="1738" w:type="dxa"/>
            <w:gridSpan w:val="2"/>
            <w:tcBorders>
              <w:top w:val="single" w:color="000000" w:sz="4" w:space="0"/>
              <w:left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区农委、区规资局</w:t>
            </w:r>
          </w:p>
        </w:tc>
        <w:tc>
          <w:tcPr>
            <w:tcW w:w="703" w:type="dxa"/>
            <w:tcBorders>
              <w:top w:val="single" w:color="000000" w:sz="4" w:space="0"/>
              <w:left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843" w:type="dxa"/>
            <w:tcBorders>
              <w:top w:val="single" w:color="000000" w:sz="4" w:space="0"/>
              <w:left w:val="single" w:color="000000" w:sz="4" w:space="0"/>
              <w:bottom w:val="single" w:color="FF0000" w:sz="12"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6091.21</w:t>
            </w:r>
          </w:p>
        </w:tc>
        <w:tc>
          <w:tcPr>
            <w:tcW w:w="729"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②调出到其他单位的实际总支出</w:t>
            </w:r>
          </w:p>
        </w:tc>
        <w:tc>
          <w:tcPr>
            <w:tcW w:w="932"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#DIV/0!</w:t>
            </w:r>
          </w:p>
        </w:tc>
        <w:tc>
          <w:tcPr>
            <w:tcW w:w="734" w:type="dxa"/>
            <w:tcBorders>
              <w:top w:val="single" w:color="000000" w:sz="4"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1" w:hRule="atLeast"/>
        </w:trPr>
        <w:tc>
          <w:tcPr>
            <w:tcW w:w="67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w:t>
            </w:r>
          </w:p>
        </w:tc>
        <w:tc>
          <w:tcPr>
            <w:tcW w:w="284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年初绩效目标</w:t>
            </w:r>
          </w:p>
        </w:tc>
        <w:tc>
          <w:tcPr>
            <w:tcW w:w="2232" w:type="dxa"/>
            <w:gridSpan w:val="3"/>
            <w:tcBorders>
              <w:top w:val="single" w:color="FF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全年（调整）绩效目标</w:t>
            </w:r>
          </w:p>
        </w:tc>
        <w:tc>
          <w:tcPr>
            <w:tcW w:w="3214" w:type="dxa"/>
            <w:gridSpan w:val="4"/>
            <w:tcBorders>
              <w:top w:val="single" w:color="00B0F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41" w:hRule="atLeast"/>
        </w:trPr>
        <w:tc>
          <w:tcPr>
            <w:tcW w:w="6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做好辖区内森林防火工作；入户调查，控制我镇辖区内农产品质量安全；搞好农村人居环境整治工作。控制辖区内动物疫病；做好防汛抗旱工作；农村综合改革一事一议项目工作；做好水域清漂保洁工作。</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好辖区内森林防火工作；入户调查，控制我镇辖区内农产品质量安全；搞好农村人居环境整治工作。控制辖区内动物疫病；做好防汛抗旱工作；农村综合改革一事一议项目工作；做好水域清漂保洁工作。完成斐然湖周边农房整治，斐然湖周边绿化工程，庆丰山村污水处理项目等</w:t>
            </w:r>
          </w:p>
        </w:tc>
        <w:tc>
          <w:tcPr>
            <w:tcW w:w="3214"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基本完成全年目标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6"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指标名称</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计量单位</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指标性质</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年初指标值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调整后指标值</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全年完成值</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得分系数（%）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核心指标      （是/否）</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权重（分）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指标得分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产出-病虫疫情及农药使用综合监测网点</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效益-重大动物疫情处置率</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满意度-扶贫工作群众满意度</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满意度-乡村振兴用户满意度 </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r>
    </w:tbl>
    <w:p>
      <w:pPr>
        <w:pStyle w:val="4"/>
        <w:numPr>
          <w:ilvl w:val="0"/>
          <w:numId w:val="2"/>
        </w:numPr>
        <w:shd w:val="clear" w:color="auto" w:fill="FFFFFF"/>
        <w:adjustRightInd/>
        <w:snapToGrid/>
        <w:spacing w:before="0" w:beforeAutospacing="0" w:after="0" w:afterAutospacing="0" w:line="596" w:lineRule="exact"/>
        <w:ind w:firstLine="640" w:firstLineChars="200"/>
        <w:jc w:val="both"/>
        <w:rPr>
          <w:rStyle w:val="7"/>
          <w:rFonts w:hint="eastAsia" w:ascii="方正仿宋_GBK" w:hAnsi="方正仿宋_GBK" w:eastAsia="方正仿宋_GBK" w:cs="方正仿宋_GBK"/>
          <w:b w:val="0"/>
          <w:sz w:val="32"/>
          <w:szCs w:val="32"/>
          <w:lang w:val="en-US" w:eastAsia="zh-CN"/>
        </w:rPr>
      </w:pPr>
      <w:r>
        <w:rPr>
          <w:rStyle w:val="7"/>
          <w:rFonts w:hint="eastAsia" w:ascii="方正仿宋_GBK" w:hAnsi="方正仿宋_GBK" w:eastAsia="方正仿宋_GBK" w:cs="方正仿宋_GBK"/>
          <w:b w:val="0"/>
          <w:sz w:val="32"/>
          <w:szCs w:val="32"/>
          <w:lang w:val="en-US" w:eastAsia="zh-CN"/>
        </w:rPr>
        <w:t>公路建设、养护等支出。2021年我部门对公路建设、养护等支出项目开展了绩效评价，涉及全年调整预算数1346.34万元，执行率100%。项目主要用于四好农村公路建设、农村公路养护。</w:t>
      </w:r>
    </w:p>
    <w:p>
      <w:pPr>
        <w:pStyle w:val="4"/>
        <w:numPr>
          <w:ilvl w:val="0"/>
          <w:numId w:val="0"/>
        </w:numPr>
        <w:shd w:val="clear" w:color="auto" w:fill="FFFFFF"/>
        <w:adjustRightInd/>
        <w:snapToGrid/>
        <w:spacing w:before="0" w:beforeAutospacing="0" w:after="0" w:afterAutospacing="0" w:line="596" w:lineRule="exact"/>
        <w:jc w:val="both"/>
        <w:rPr>
          <w:rStyle w:val="7"/>
          <w:rFonts w:hint="eastAsia" w:ascii="方正仿宋_GBK" w:hAnsi="方正仿宋_GBK" w:eastAsia="方正仿宋_GBK" w:cs="方正仿宋_GBK"/>
          <w:b w:val="0"/>
          <w:sz w:val="32"/>
          <w:szCs w:val="32"/>
          <w:lang w:val="en-US" w:eastAsia="zh-CN"/>
        </w:rPr>
      </w:pPr>
    </w:p>
    <w:tbl>
      <w:tblPr>
        <w:tblStyle w:val="5"/>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8"/>
        <w:gridCol w:w="1128"/>
        <w:gridCol w:w="685"/>
        <w:gridCol w:w="1070"/>
        <w:gridCol w:w="692"/>
        <w:gridCol w:w="695"/>
        <w:gridCol w:w="841"/>
        <w:gridCol w:w="728"/>
        <w:gridCol w:w="912"/>
        <w:gridCol w:w="802"/>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8960" w:type="dxa"/>
            <w:gridSpan w:val="11"/>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51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公路建设、养护等支出</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自评总分（分)</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67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5111" w:type="dxa"/>
            <w:gridSpan w:val="6"/>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中梁镇人民政府</w:t>
            </w:r>
          </w:p>
        </w:tc>
        <w:tc>
          <w:tcPr>
            <w:tcW w:w="1640" w:type="dxa"/>
            <w:gridSpan w:val="2"/>
            <w:tcBorders>
              <w:top w:val="single" w:color="000000" w:sz="4" w:space="0"/>
              <w:left w:val="single" w:color="000000" w:sz="4" w:space="0"/>
              <w:bottom w:val="single" w:color="00B0F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联系人及电话</w:t>
            </w:r>
          </w:p>
        </w:tc>
        <w:tc>
          <w:tcPr>
            <w:tcW w:w="1531" w:type="dxa"/>
            <w:gridSpan w:val="2"/>
            <w:tcBorders>
              <w:top w:val="single" w:color="000000" w:sz="4" w:space="0"/>
              <w:left w:val="single" w:color="000000" w:sz="4" w:space="0"/>
              <w:bottom w:val="single" w:color="00B0F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杜晓琳17830667202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7" w:hRule="atLeast"/>
        </w:trPr>
        <w:tc>
          <w:tcPr>
            <w:tcW w:w="678" w:type="dxa"/>
            <w:vMerge w:val="restart"/>
            <w:tcBorders>
              <w:top w:val="single" w:color="000000" w:sz="4"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128" w:type="dxa"/>
            <w:tcBorders>
              <w:top w:val="single" w:color="FF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755" w:type="dxa"/>
            <w:gridSpan w:val="2"/>
            <w:tcBorders>
              <w:top w:val="single" w:color="FF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2228" w:type="dxa"/>
            <w:gridSpan w:val="3"/>
            <w:tcBorders>
              <w:top w:val="single" w:color="FF0000" w:sz="12"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全年（调整）预算数</w:t>
            </w:r>
          </w:p>
        </w:tc>
        <w:tc>
          <w:tcPr>
            <w:tcW w:w="164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8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729" w:type="dxa"/>
            <w:tcBorders>
              <w:top w:val="single" w:color="00B0F0" w:sz="12"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执行率得分（分)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678" w:type="dxa"/>
            <w:vMerge w:val="continue"/>
            <w:tcBorders>
              <w:top w:val="single" w:color="000000" w:sz="4" w:space="0"/>
              <w:left w:val="single" w:color="000000" w:sz="4" w:space="0"/>
              <w:bottom w:val="single" w:color="000000" w:sz="4" w:space="0"/>
              <w:right w:val="single" w:color="FF0000" w:sz="12"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2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228" w:type="dxa"/>
            <w:gridSpan w:val="3"/>
            <w:tcBorders>
              <w:top w:val="single" w:color="000000" w:sz="4"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1346.34</w:t>
            </w:r>
          </w:p>
        </w:tc>
        <w:tc>
          <w:tcPr>
            <w:tcW w:w="164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1346.34</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29" w:type="dxa"/>
            <w:tcBorders>
              <w:top w:val="single" w:color="000000" w:sz="4"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6" w:hRule="atLeast"/>
        </w:trPr>
        <w:tc>
          <w:tcPr>
            <w:tcW w:w="678" w:type="dxa"/>
            <w:vMerge w:val="continue"/>
            <w:tcBorders>
              <w:top w:val="single" w:color="000000" w:sz="4" w:space="0"/>
              <w:left w:val="single" w:color="000000" w:sz="4" w:space="0"/>
              <w:bottom w:val="single" w:color="000000" w:sz="4" w:space="0"/>
              <w:right w:val="single" w:color="FF0000" w:sz="12"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2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其中：①部门预算</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228" w:type="dxa"/>
            <w:gridSpan w:val="3"/>
            <w:tcBorders>
              <w:top w:val="single" w:color="000000" w:sz="4"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2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其中：①本单位实际支出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1346.34</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29" w:type="dxa"/>
            <w:tcBorders>
              <w:top w:val="single" w:color="000000" w:sz="4"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7" w:hRule="atLeast"/>
        </w:trPr>
        <w:tc>
          <w:tcPr>
            <w:tcW w:w="678" w:type="dxa"/>
            <w:vMerge w:val="continue"/>
            <w:tcBorders>
              <w:top w:val="single" w:color="000000" w:sz="4" w:space="0"/>
              <w:left w:val="single" w:color="000000" w:sz="4" w:space="0"/>
              <w:bottom w:val="single" w:color="000000" w:sz="4" w:space="0"/>
              <w:right w:val="single" w:color="FF0000" w:sz="12"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28" w:type="dxa"/>
            <w:tcBorders>
              <w:top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②其他部门指标调入</w:t>
            </w:r>
          </w:p>
        </w:tc>
        <w:tc>
          <w:tcPr>
            <w:tcW w:w="685" w:type="dxa"/>
            <w:tcBorders>
              <w:top w:val="single" w:color="000000" w:sz="4" w:space="0"/>
              <w:left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来源单位</w:t>
            </w:r>
          </w:p>
        </w:tc>
        <w:tc>
          <w:tcPr>
            <w:tcW w:w="1762" w:type="dxa"/>
            <w:gridSpan w:val="2"/>
            <w:tcBorders>
              <w:top w:val="single" w:color="000000" w:sz="4" w:space="0"/>
              <w:left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区交通局</w:t>
            </w:r>
          </w:p>
        </w:tc>
        <w:tc>
          <w:tcPr>
            <w:tcW w:w="695" w:type="dxa"/>
            <w:tcBorders>
              <w:top w:val="single" w:color="000000" w:sz="4" w:space="0"/>
              <w:left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841" w:type="dxa"/>
            <w:tcBorders>
              <w:top w:val="single" w:color="000000" w:sz="4" w:space="0"/>
              <w:left w:val="single" w:color="000000" w:sz="4" w:space="0"/>
              <w:bottom w:val="single" w:color="FF0000" w:sz="12"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1346.34</w:t>
            </w:r>
          </w:p>
        </w:tc>
        <w:tc>
          <w:tcPr>
            <w:tcW w:w="728"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②调出到其他单位的实际总支出</w:t>
            </w:r>
          </w:p>
        </w:tc>
        <w:tc>
          <w:tcPr>
            <w:tcW w:w="9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#DIV/0!</w:t>
            </w:r>
          </w:p>
        </w:tc>
        <w:tc>
          <w:tcPr>
            <w:tcW w:w="729" w:type="dxa"/>
            <w:tcBorders>
              <w:top w:val="single" w:color="000000" w:sz="4"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678"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w:t>
            </w:r>
          </w:p>
        </w:tc>
        <w:tc>
          <w:tcPr>
            <w:tcW w:w="2883"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年初绩效目标</w:t>
            </w:r>
          </w:p>
        </w:tc>
        <w:tc>
          <w:tcPr>
            <w:tcW w:w="2228" w:type="dxa"/>
            <w:gridSpan w:val="3"/>
            <w:tcBorders>
              <w:top w:val="single" w:color="FF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全年（调整）绩效目标</w:t>
            </w:r>
          </w:p>
        </w:tc>
        <w:tc>
          <w:tcPr>
            <w:tcW w:w="3171" w:type="dxa"/>
            <w:gridSpan w:val="4"/>
            <w:tcBorders>
              <w:top w:val="single" w:color="00B0F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5" w:hRule="atLeast"/>
        </w:trPr>
        <w:tc>
          <w:tcPr>
            <w:tcW w:w="67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做好中梁镇四好农村公路建设及日常维修、养护，为辖区居民出行提供便利。</w:t>
            </w:r>
          </w:p>
        </w:tc>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新建农村四好公路及农村公路新改建化工程；做好中梁镇四好农村公路建设及日常维修、养护，为辖区居民出行提供便利。</w:t>
            </w:r>
          </w:p>
        </w:tc>
        <w:tc>
          <w:tcPr>
            <w:tcW w:w="3171"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完成全年目标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8"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指标名称</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计量单位</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指标性质</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年初指标值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调整后指标值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全年完成值</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核心指标      </w:t>
            </w:r>
            <w:r>
              <w:rPr>
                <w:rStyle w:val="11"/>
                <w:lang w:val="en-US" w:eastAsia="zh-CN" w:bidi="ar"/>
              </w:rPr>
              <w:t>（是/否）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权重（分）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指标得分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产出-覆盖村数量</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产出-公路养护工程量完成率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产出-公路养护工程合格率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效益-农村公路整体的合格率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strike/>
                <w:color w:val="000000"/>
                <w:sz w:val="22"/>
                <w:szCs w:val="22"/>
              </w:rPr>
            </w:pPr>
            <w:r>
              <w:rPr>
                <w:rFonts w:hint="eastAsia" w:ascii="宋体" w:hAnsi="宋体" w:eastAsia="宋体" w:cs="宋体"/>
                <w:i w:val="0"/>
                <w:strike/>
                <w:color w:val="000000"/>
                <w:kern w:val="0"/>
                <w:sz w:val="22"/>
                <w:szCs w:val="22"/>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r>
    </w:tbl>
    <w:p>
      <w:pPr>
        <w:pStyle w:val="4"/>
        <w:numPr>
          <w:ilvl w:val="0"/>
          <w:numId w:val="0"/>
        </w:numPr>
        <w:shd w:val="clear" w:color="auto" w:fill="FFFFFF"/>
        <w:adjustRightInd/>
        <w:snapToGrid/>
        <w:spacing w:before="0" w:beforeAutospacing="0" w:after="0" w:afterAutospacing="0" w:line="596" w:lineRule="exact"/>
        <w:ind w:firstLine="640" w:firstLineChars="200"/>
        <w:jc w:val="both"/>
        <w:rPr>
          <w:rStyle w:val="7"/>
          <w:rFonts w:hint="eastAsia" w:ascii="方正仿宋_GBK" w:hAnsi="方正仿宋_GBK" w:eastAsia="方正仿宋_GBK" w:cs="方正仿宋_GBK"/>
          <w:b w:val="0"/>
          <w:sz w:val="32"/>
          <w:szCs w:val="32"/>
          <w:lang w:val="en-US" w:eastAsia="zh-CN"/>
        </w:rPr>
      </w:pPr>
    </w:p>
    <w:p>
      <w:pPr>
        <w:pStyle w:val="4"/>
        <w:numPr>
          <w:ilvl w:val="0"/>
          <w:numId w:val="0"/>
        </w:numPr>
        <w:shd w:val="clear" w:color="auto" w:fill="FFFFFF"/>
        <w:adjustRightInd/>
        <w:snapToGrid/>
        <w:spacing w:before="0" w:beforeAutospacing="0" w:after="0" w:afterAutospacing="0" w:line="596" w:lineRule="exact"/>
        <w:ind w:firstLine="640" w:firstLineChars="200"/>
        <w:jc w:val="both"/>
        <w:rPr>
          <w:rStyle w:val="7"/>
          <w:rFonts w:hint="eastAsia" w:ascii="方正仿宋_GBK" w:hAnsi="方正仿宋_GBK" w:eastAsia="方正仿宋_GBK" w:cs="方正仿宋_GBK"/>
          <w:b w:val="0"/>
          <w:sz w:val="32"/>
          <w:szCs w:val="32"/>
          <w:lang w:val="en-US" w:eastAsia="zh-CN"/>
        </w:rPr>
      </w:pPr>
      <w:r>
        <w:rPr>
          <w:rStyle w:val="7"/>
          <w:rFonts w:hint="eastAsia" w:ascii="方正仿宋_GBK" w:hAnsi="方正仿宋_GBK" w:eastAsia="方正仿宋_GBK" w:cs="方正仿宋_GBK"/>
          <w:b w:val="0"/>
          <w:sz w:val="32"/>
          <w:szCs w:val="32"/>
          <w:lang w:val="en-US" w:eastAsia="zh-CN"/>
        </w:rPr>
        <w:t>（3）自然资源海洋气象支出。2021年我部门对自然资源海洋气象支出项目开展了绩效评价，涉及全年调整预算数540.49万元，执行率100%。项目主要用于废弃矿坑治理修复、地面塌陷整治。</w:t>
      </w:r>
    </w:p>
    <w:tbl>
      <w:tblPr>
        <w:tblStyle w:val="5"/>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8"/>
        <w:gridCol w:w="1126"/>
        <w:gridCol w:w="684"/>
        <w:gridCol w:w="1066"/>
        <w:gridCol w:w="706"/>
        <w:gridCol w:w="724"/>
        <w:gridCol w:w="825"/>
        <w:gridCol w:w="729"/>
        <w:gridCol w:w="912"/>
        <w:gridCol w:w="802"/>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 w:hRule="atLeast"/>
        </w:trPr>
        <w:tc>
          <w:tcPr>
            <w:tcW w:w="8980" w:type="dxa"/>
            <w:gridSpan w:val="11"/>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51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自然资源海洋气象支出</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自评总分（分)</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9" w:hRule="atLeast"/>
        </w:trPr>
        <w:tc>
          <w:tcPr>
            <w:tcW w:w="67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5131" w:type="dxa"/>
            <w:gridSpan w:val="6"/>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中梁镇人民政府</w:t>
            </w:r>
          </w:p>
        </w:tc>
        <w:tc>
          <w:tcPr>
            <w:tcW w:w="1641" w:type="dxa"/>
            <w:gridSpan w:val="2"/>
            <w:tcBorders>
              <w:top w:val="single" w:color="000000" w:sz="4" w:space="0"/>
              <w:left w:val="single" w:color="000000" w:sz="4" w:space="0"/>
              <w:bottom w:val="single" w:color="00B0F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联系人及电话</w:t>
            </w:r>
          </w:p>
        </w:tc>
        <w:tc>
          <w:tcPr>
            <w:tcW w:w="1530" w:type="dxa"/>
            <w:gridSpan w:val="2"/>
            <w:tcBorders>
              <w:top w:val="single" w:color="000000" w:sz="4" w:space="0"/>
              <w:left w:val="single" w:color="000000" w:sz="4" w:space="0"/>
              <w:bottom w:val="single" w:color="00B0F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杜晓琳17830667202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4" w:hRule="atLeast"/>
        </w:trPr>
        <w:tc>
          <w:tcPr>
            <w:tcW w:w="678" w:type="dxa"/>
            <w:vMerge w:val="restart"/>
            <w:tcBorders>
              <w:top w:val="single" w:color="000000" w:sz="4"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126" w:type="dxa"/>
            <w:tcBorders>
              <w:top w:val="single" w:color="FF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750" w:type="dxa"/>
            <w:gridSpan w:val="2"/>
            <w:tcBorders>
              <w:top w:val="single" w:color="FF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2255" w:type="dxa"/>
            <w:gridSpan w:val="3"/>
            <w:tcBorders>
              <w:top w:val="single" w:color="FF0000" w:sz="12"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全年（调整）预算数</w:t>
            </w:r>
          </w:p>
        </w:tc>
        <w:tc>
          <w:tcPr>
            <w:tcW w:w="164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80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728" w:type="dxa"/>
            <w:tcBorders>
              <w:top w:val="single" w:color="00B0F0" w:sz="12"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执行率得分（分)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3" w:hRule="atLeast"/>
        </w:trPr>
        <w:tc>
          <w:tcPr>
            <w:tcW w:w="678" w:type="dxa"/>
            <w:vMerge w:val="continue"/>
            <w:tcBorders>
              <w:top w:val="single" w:color="000000" w:sz="4" w:space="0"/>
              <w:left w:val="single" w:color="000000" w:sz="4" w:space="0"/>
              <w:bottom w:val="single" w:color="000000" w:sz="4" w:space="0"/>
              <w:right w:val="single" w:color="FF0000" w:sz="12"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2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255" w:type="dxa"/>
            <w:gridSpan w:val="3"/>
            <w:tcBorders>
              <w:top w:val="single" w:color="000000" w:sz="4"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540.49</w:t>
            </w:r>
          </w:p>
        </w:tc>
        <w:tc>
          <w:tcPr>
            <w:tcW w:w="164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540.49</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28" w:type="dxa"/>
            <w:tcBorders>
              <w:top w:val="single" w:color="000000" w:sz="4"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9" w:hRule="atLeast"/>
        </w:trPr>
        <w:tc>
          <w:tcPr>
            <w:tcW w:w="678" w:type="dxa"/>
            <w:vMerge w:val="continue"/>
            <w:tcBorders>
              <w:top w:val="single" w:color="000000" w:sz="4" w:space="0"/>
              <w:left w:val="single" w:color="000000" w:sz="4" w:space="0"/>
              <w:bottom w:val="single" w:color="000000" w:sz="4" w:space="0"/>
              <w:right w:val="single" w:color="FF0000" w:sz="12"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2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其中：①部门预算</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255" w:type="dxa"/>
            <w:gridSpan w:val="3"/>
            <w:tcBorders>
              <w:top w:val="single" w:color="000000" w:sz="4" w:space="0"/>
              <w:left w:val="single" w:color="000000" w:sz="4" w:space="0"/>
              <w:bottom w:val="single" w:color="000000" w:sz="4"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2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其中：①本单位实际支出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540.49</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28" w:type="dxa"/>
            <w:tcBorders>
              <w:top w:val="single" w:color="000000" w:sz="4"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4" w:hRule="atLeast"/>
        </w:trPr>
        <w:tc>
          <w:tcPr>
            <w:tcW w:w="678" w:type="dxa"/>
            <w:vMerge w:val="continue"/>
            <w:tcBorders>
              <w:top w:val="single" w:color="000000" w:sz="4" w:space="0"/>
              <w:left w:val="single" w:color="000000" w:sz="4" w:space="0"/>
              <w:bottom w:val="single" w:color="000000" w:sz="4" w:space="0"/>
              <w:right w:val="single" w:color="FF0000" w:sz="12"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26" w:type="dxa"/>
            <w:tcBorders>
              <w:top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②其他部门指标调入</w:t>
            </w:r>
          </w:p>
        </w:tc>
        <w:tc>
          <w:tcPr>
            <w:tcW w:w="684" w:type="dxa"/>
            <w:tcBorders>
              <w:top w:val="single" w:color="000000" w:sz="4" w:space="0"/>
              <w:left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来源单位</w:t>
            </w:r>
          </w:p>
        </w:tc>
        <w:tc>
          <w:tcPr>
            <w:tcW w:w="1772" w:type="dxa"/>
            <w:gridSpan w:val="2"/>
            <w:tcBorders>
              <w:top w:val="single" w:color="000000" w:sz="4" w:space="0"/>
              <w:left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区规自局、区环保局</w:t>
            </w:r>
          </w:p>
        </w:tc>
        <w:tc>
          <w:tcPr>
            <w:tcW w:w="724" w:type="dxa"/>
            <w:tcBorders>
              <w:top w:val="single" w:color="000000" w:sz="4" w:space="0"/>
              <w:left w:val="single" w:color="000000" w:sz="4" w:space="0"/>
              <w:bottom w:val="single" w:color="FF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825" w:type="dxa"/>
            <w:tcBorders>
              <w:top w:val="single" w:color="000000" w:sz="4" w:space="0"/>
              <w:left w:val="single" w:color="000000" w:sz="4" w:space="0"/>
              <w:bottom w:val="single" w:color="FF0000" w:sz="12" w:space="0"/>
              <w:right w:val="single" w:color="FF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540.49</w:t>
            </w:r>
          </w:p>
        </w:tc>
        <w:tc>
          <w:tcPr>
            <w:tcW w:w="729"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②调出到其他单位的实际总支出</w:t>
            </w:r>
          </w:p>
        </w:tc>
        <w:tc>
          <w:tcPr>
            <w:tcW w:w="91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#DIV/0!</w:t>
            </w:r>
          </w:p>
        </w:tc>
        <w:tc>
          <w:tcPr>
            <w:tcW w:w="728" w:type="dxa"/>
            <w:tcBorders>
              <w:top w:val="single" w:color="000000" w:sz="4" w:space="0"/>
              <w:left w:val="single" w:color="000000" w:sz="4" w:space="0"/>
              <w:bottom w:val="single" w:color="000000" w:sz="4" w:space="0"/>
              <w:right w:val="single" w:color="00B0F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678"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w:t>
            </w:r>
          </w:p>
        </w:tc>
        <w:tc>
          <w:tcPr>
            <w:tcW w:w="2876"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年初绩效目标</w:t>
            </w:r>
          </w:p>
        </w:tc>
        <w:tc>
          <w:tcPr>
            <w:tcW w:w="2255" w:type="dxa"/>
            <w:gridSpan w:val="3"/>
            <w:tcBorders>
              <w:top w:val="single" w:color="FF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全年（调整）绩效目标</w:t>
            </w:r>
          </w:p>
        </w:tc>
        <w:tc>
          <w:tcPr>
            <w:tcW w:w="3171" w:type="dxa"/>
            <w:gridSpan w:val="4"/>
            <w:tcBorders>
              <w:top w:val="single" w:color="00B0F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6" w:hRule="atLeast"/>
        </w:trPr>
        <w:tc>
          <w:tcPr>
            <w:tcW w:w="67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1、完成中梁镇王家湾片区等废弃矿坑地质环境恢复和综合治理，达到矿山修复目的。2、歌乐山-中梁地区地面塌陷回填治理，消除地陷隐患。</w:t>
            </w:r>
          </w:p>
        </w:tc>
        <w:tc>
          <w:tcPr>
            <w:tcW w:w="2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1、完成中梁镇王家湾片区等废弃矿坑地质环境恢复和综合治理，达到矿山修复目的。2、歌乐山-中梁地区地面塌陷回填治理，消除地陷隐患。</w:t>
            </w:r>
          </w:p>
        </w:tc>
        <w:tc>
          <w:tcPr>
            <w:tcW w:w="3171"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4"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指标名称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指标性质</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年初指标值</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调整后指标值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全年完成值</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核心指标      </w:t>
            </w:r>
            <w:r>
              <w:rPr>
                <w:rFonts w:hint="eastAsia" w:ascii="宋体" w:hAnsi="宋体" w:eastAsia="宋体" w:cs="宋体"/>
                <w:i w:val="0"/>
                <w:color w:val="000000"/>
                <w:kern w:val="0"/>
                <w:sz w:val="20"/>
                <w:szCs w:val="20"/>
                <w:u w:val="none"/>
                <w:lang w:val="en-US" w:eastAsia="zh-CN" w:bidi="ar"/>
              </w:rPr>
              <w:t>（是/否）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权重（分）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指标得分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产出-废弃矿山生态修复面积</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产出-废弃矿山修复数量</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产出-项目按时完工率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满意度-服务对象满意度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r>
    </w:tbl>
    <w:p>
      <w:pPr>
        <w:pStyle w:val="4"/>
        <w:keepNext w:val="0"/>
        <w:keepLines w:val="0"/>
        <w:pageBreakBefore w:val="0"/>
        <w:widowControl/>
        <w:kinsoku/>
        <w:wordWrap/>
        <w:overflowPunct/>
        <w:topLinePunct w:val="0"/>
        <w:autoSpaceDE/>
        <w:autoSpaceDN/>
        <w:bidi w:val="0"/>
        <w:adjustRightInd/>
        <w:snapToGrid/>
        <w:spacing w:before="100" w:beforeAutospacing="1" w:after="100" w:afterAutospacing="1" w:line="580" w:lineRule="exact"/>
        <w:ind w:left="0" w:leftChars="0" w:right="0" w:rightChars="0" w:firstLine="640" w:firstLineChars="200"/>
        <w:jc w:val="left"/>
        <w:textAlignment w:val="auto"/>
        <w:outlineLvl w:val="9"/>
        <w:rPr>
          <w:rStyle w:val="7"/>
          <w:rFonts w:hint="eastAsia" w:ascii="方正仿宋_GBK" w:hAnsi="方正仿宋_GBK" w:eastAsia="方正仿宋_GBK" w:cs="方正仿宋_GBK"/>
          <w:b w:val="0"/>
          <w:bCs w:val="0"/>
          <w:sz w:val="32"/>
          <w:szCs w:val="32"/>
        </w:rPr>
      </w:pPr>
    </w:p>
    <w:p>
      <w:pPr>
        <w:pStyle w:val="4"/>
        <w:keepNext w:val="0"/>
        <w:keepLines w:val="0"/>
        <w:pageBreakBefore w:val="0"/>
        <w:widowControl/>
        <w:kinsoku/>
        <w:wordWrap/>
        <w:overflowPunct/>
        <w:topLinePunct w:val="0"/>
        <w:autoSpaceDE/>
        <w:autoSpaceDN/>
        <w:bidi w:val="0"/>
        <w:adjustRightInd/>
        <w:snapToGrid/>
        <w:spacing w:before="100" w:beforeAutospacing="1" w:after="100" w:afterAutospacing="1" w:line="580" w:lineRule="exact"/>
        <w:ind w:left="0" w:leftChars="0" w:right="0" w:rightChars="0" w:firstLine="640" w:firstLineChars="200"/>
        <w:jc w:val="left"/>
        <w:textAlignment w:val="auto"/>
        <w:outlineLvl w:val="9"/>
        <w:rPr>
          <w:rStyle w:val="7"/>
          <w:rFonts w:hint="eastAsia" w:ascii="方正仿宋_GBK" w:hAnsi="方正仿宋_GBK" w:eastAsia="方正仿宋_GBK" w:cs="方正仿宋_GBK"/>
          <w:b w:val="0"/>
          <w:bCs w:val="0"/>
          <w:sz w:val="32"/>
          <w:szCs w:val="32"/>
        </w:rPr>
      </w:pPr>
    </w:p>
    <w:p>
      <w:pPr>
        <w:pStyle w:val="4"/>
        <w:keepNext w:val="0"/>
        <w:keepLines w:val="0"/>
        <w:pageBreakBefore w:val="0"/>
        <w:widowControl/>
        <w:kinsoku/>
        <w:wordWrap/>
        <w:overflowPunct/>
        <w:topLinePunct w:val="0"/>
        <w:autoSpaceDE/>
        <w:autoSpaceDN/>
        <w:bidi w:val="0"/>
        <w:adjustRightInd/>
        <w:snapToGrid/>
        <w:spacing w:before="100" w:beforeAutospacing="1" w:after="100" w:afterAutospacing="1" w:line="58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sz w:val="32"/>
          <w:szCs w:val="32"/>
        </w:rPr>
        <w:t>2.绩效自评报告或案例</w:t>
      </w:r>
    </w:p>
    <w:p>
      <w:pPr>
        <w:pStyle w:val="4"/>
        <w:keepNext w:val="0"/>
        <w:keepLines w:val="0"/>
        <w:pageBreakBefore w:val="0"/>
        <w:widowControl/>
        <w:kinsoku/>
        <w:wordWrap/>
        <w:overflowPunct/>
        <w:topLinePunct w:val="0"/>
        <w:autoSpaceDE/>
        <w:autoSpaceDN/>
        <w:bidi w:val="0"/>
        <w:adjustRightInd/>
        <w:snapToGrid/>
        <w:spacing w:before="100" w:beforeAutospacing="1" w:after="100" w:afterAutospacing="1" w:line="580" w:lineRule="exact"/>
        <w:ind w:left="0" w:leftChars="0" w:right="0" w:rightChars="0" w:firstLine="640" w:firstLineChars="200"/>
        <w:jc w:val="left"/>
        <w:textAlignment w:val="auto"/>
        <w:outlineLvl w:val="9"/>
        <w:rPr>
          <w:rStyle w:val="7"/>
          <w:rFonts w:hint="eastAsia" w:ascii="方正仿宋_GBK" w:hAnsi="方正仿宋_GBK" w:eastAsia="方正仿宋_GBK" w:cs="方正仿宋_GBK"/>
          <w:b w:val="0"/>
          <w:bCs w:val="0"/>
          <w:sz w:val="32"/>
          <w:szCs w:val="32"/>
          <w:lang w:eastAsia="zh-CN"/>
        </w:rPr>
      </w:pPr>
      <w:r>
        <w:rPr>
          <w:rStyle w:val="7"/>
          <w:rFonts w:hint="eastAsia" w:ascii="方正仿宋_GBK" w:hAnsi="方正仿宋_GBK" w:eastAsia="方正仿宋_GBK" w:cs="方正仿宋_GBK"/>
          <w:b w:val="0"/>
          <w:bCs w:val="0"/>
          <w:sz w:val="32"/>
          <w:szCs w:val="32"/>
          <w:lang w:eastAsia="zh-CN"/>
        </w:rPr>
        <w:t>202</w:t>
      </w:r>
      <w:r>
        <w:rPr>
          <w:rStyle w:val="7"/>
          <w:rFonts w:hint="eastAsia" w:ascii="方正仿宋_GBK" w:hAnsi="方正仿宋_GBK" w:eastAsia="方正仿宋_GBK" w:cs="方正仿宋_GBK"/>
          <w:b w:val="0"/>
          <w:bCs w:val="0"/>
          <w:sz w:val="32"/>
          <w:szCs w:val="32"/>
          <w:lang w:val="en-US" w:eastAsia="zh-CN"/>
        </w:rPr>
        <w:t>1</w:t>
      </w:r>
      <w:r>
        <w:rPr>
          <w:rStyle w:val="7"/>
          <w:rFonts w:hint="eastAsia" w:ascii="方正仿宋_GBK" w:hAnsi="方正仿宋_GBK" w:eastAsia="方正仿宋_GBK" w:cs="方正仿宋_GBK"/>
          <w:b w:val="0"/>
          <w:bCs w:val="0"/>
          <w:sz w:val="32"/>
          <w:szCs w:val="32"/>
          <w:lang w:eastAsia="zh-CN"/>
        </w:rPr>
        <w:t>年度未委托第三方开展绩效评价。</w:t>
      </w:r>
    </w:p>
    <w:p>
      <w:pPr>
        <w:pStyle w:val="4"/>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580" w:lineRule="exact"/>
        <w:ind w:right="0" w:rightChars="0" w:firstLine="640" w:firstLineChars="200"/>
        <w:jc w:val="left"/>
        <w:textAlignment w:val="auto"/>
        <w:outlineLvl w:val="9"/>
        <w:rPr>
          <w:rStyle w:val="7"/>
          <w:rFonts w:hint="eastAsia" w:ascii="方正楷体_GBK" w:eastAsia="方正楷体_GBK"/>
          <w:b w:val="0"/>
          <w:bCs w:val="0"/>
          <w:sz w:val="32"/>
          <w:szCs w:val="32"/>
          <w:lang w:val="en-US" w:eastAsia="zh-CN"/>
        </w:rPr>
      </w:pPr>
      <w:r>
        <w:rPr>
          <w:rStyle w:val="7"/>
          <w:rFonts w:hint="eastAsia" w:ascii="方正楷体_GBK" w:eastAsia="方正楷体_GBK"/>
          <w:b w:val="0"/>
          <w:bCs w:val="0"/>
          <w:sz w:val="32"/>
          <w:szCs w:val="32"/>
          <w:lang w:val="en-US" w:eastAsia="zh-CN"/>
        </w:rPr>
        <w:t>3.关于绩效自评结果的说明</w:t>
      </w:r>
    </w:p>
    <w:p>
      <w:pPr>
        <w:pStyle w:val="4"/>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580" w:lineRule="exact"/>
        <w:ind w:right="0" w:rightChars="0" w:firstLine="640" w:firstLineChars="200"/>
        <w:jc w:val="left"/>
        <w:textAlignment w:val="auto"/>
        <w:outlineLvl w:val="9"/>
        <w:rPr>
          <w:rStyle w:val="7"/>
          <w:rFonts w:hint="eastAsia" w:ascii="方正仿宋_GBK" w:hAnsi="方正仿宋_GBK" w:eastAsia="方正仿宋_GBK" w:cs="方正仿宋_GBK"/>
          <w:b w:val="0"/>
          <w:bCs w:val="0"/>
          <w:sz w:val="32"/>
          <w:szCs w:val="32"/>
          <w:lang w:eastAsia="zh-CN"/>
        </w:rPr>
      </w:pPr>
      <w:r>
        <w:rPr>
          <w:rStyle w:val="7"/>
          <w:rFonts w:hint="eastAsia" w:ascii="方正仿宋_GBK" w:hAnsi="方正仿宋_GBK" w:eastAsia="方正仿宋_GBK" w:cs="方正仿宋_GBK"/>
          <w:b w:val="0"/>
          <w:bCs w:val="0"/>
          <w:sz w:val="32"/>
          <w:szCs w:val="32"/>
          <w:lang w:eastAsia="zh-CN"/>
        </w:rPr>
        <w:t>我部门已完成</w:t>
      </w:r>
      <w:r>
        <w:rPr>
          <w:rStyle w:val="7"/>
          <w:rFonts w:hint="eastAsia" w:ascii="方正仿宋_GBK" w:hAnsi="方正仿宋_GBK" w:eastAsia="方正仿宋_GBK" w:cs="方正仿宋_GBK"/>
          <w:b w:val="0"/>
          <w:bCs w:val="0"/>
          <w:sz w:val="32"/>
          <w:szCs w:val="32"/>
          <w:lang w:val="en-US" w:eastAsia="zh-CN"/>
        </w:rPr>
        <w:t>2021年度绩效目标</w:t>
      </w:r>
      <w:r>
        <w:rPr>
          <w:rStyle w:val="7"/>
          <w:rFonts w:hint="eastAsia" w:ascii="方正仿宋_GBK" w:hAnsi="方正仿宋_GBK" w:eastAsia="方正仿宋_GBK" w:cs="方正仿宋_GBK"/>
          <w:b w:val="0"/>
          <w:bCs w:val="0"/>
          <w:sz w:val="32"/>
          <w:szCs w:val="32"/>
          <w:lang w:eastAsia="zh-CN"/>
        </w:rPr>
        <w:t>。</w:t>
      </w:r>
    </w:p>
    <w:p>
      <w:pPr>
        <w:pStyle w:val="4"/>
        <w:keepNext w:val="0"/>
        <w:keepLines w:val="0"/>
        <w:pageBreakBefore w:val="0"/>
        <w:shd w:val="clear" w:color="auto" w:fill="FFFFFF"/>
        <w:kinsoku/>
        <w:wordWrap/>
        <w:overflowPunct/>
        <w:topLinePunct w:val="0"/>
        <w:autoSpaceDE/>
        <w:autoSpaceDN/>
        <w:bidi w:val="0"/>
        <w:adjustRightInd/>
        <w:snapToGrid/>
        <w:spacing w:line="580" w:lineRule="exact"/>
        <w:ind w:firstLine="640" w:firstLineChars="200"/>
        <w:textAlignment w:val="auto"/>
        <w:rPr>
          <w:rStyle w:val="7"/>
          <w:rFonts w:hint="eastAsia" w:ascii="方正楷体_GBK" w:hAnsi="方正楷体_GBK" w:eastAsia="方正楷体_GBK" w:cs="方正楷体_GBK"/>
          <w:b w:val="0"/>
          <w:bCs w:val="0"/>
          <w:sz w:val="32"/>
          <w:szCs w:val="32"/>
          <w:lang w:eastAsia="zh-Hans"/>
        </w:rPr>
      </w:pPr>
      <w:r>
        <w:rPr>
          <w:rStyle w:val="7"/>
          <w:rFonts w:hint="eastAsia" w:ascii="方正楷体_GBK" w:hAnsi="方正楷体_GBK" w:eastAsia="方正楷体_GBK" w:cs="方正楷体_GBK"/>
          <w:b w:val="0"/>
          <w:bCs w:val="0"/>
          <w:sz w:val="32"/>
          <w:szCs w:val="32"/>
          <w:lang w:eastAsia="zh-Hans"/>
        </w:rPr>
        <w:t>（三）重点绩效评价结果</w:t>
      </w:r>
    </w:p>
    <w:p>
      <w:pPr>
        <w:pStyle w:val="4"/>
        <w:keepNext w:val="0"/>
        <w:keepLines w:val="0"/>
        <w:pageBreakBefore w:val="0"/>
        <w:kinsoku/>
        <w:wordWrap/>
        <w:topLinePunct w:val="0"/>
        <w:autoSpaceDE/>
        <w:autoSpaceDN/>
        <w:bidi w:val="0"/>
        <w:adjustRightInd/>
        <w:snapToGrid/>
        <w:spacing w:line="580" w:lineRule="exact"/>
        <w:ind w:firstLine="640" w:firstLineChars="200"/>
        <w:rPr>
          <w:rStyle w:val="7"/>
          <w:rFonts w:hint="eastAsia" w:ascii="方正仿宋_GBK" w:hAnsi="方正仿宋_GBK" w:eastAsia="方正仿宋_GBK" w:cs="方正仿宋_GBK"/>
          <w:b w:val="0"/>
          <w:sz w:val="32"/>
          <w:szCs w:val="32"/>
          <w:lang w:val="en-US" w:eastAsia="zh-CN"/>
        </w:rPr>
      </w:pPr>
      <w:r>
        <w:rPr>
          <w:rStyle w:val="7"/>
          <w:rFonts w:hint="eastAsia" w:ascii="方正仿宋_GBK" w:hAnsi="方正仿宋_GBK" w:eastAsia="方正仿宋_GBK" w:cs="方正仿宋_GBK"/>
          <w:b w:val="0"/>
          <w:bCs w:val="0"/>
          <w:sz w:val="32"/>
          <w:szCs w:val="32"/>
          <w:lang w:eastAsia="zh-CN"/>
        </w:rPr>
        <w:t>202</w:t>
      </w:r>
      <w:r>
        <w:rPr>
          <w:rStyle w:val="7"/>
          <w:rFonts w:hint="eastAsia" w:ascii="方正仿宋_GBK" w:hAnsi="方正仿宋_GBK" w:eastAsia="方正仿宋_GBK" w:cs="方正仿宋_GBK"/>
          <w:b w:val="0"/>
          <w:bCs w:val="0"/>
          <w:sz w:val="32"/>
          <w:szCs w:val="32"/>
          <w:lang w:val="en-US" w:eastAsia="zh-CN"/>
        </w:rPr>
        <w:t>1</w:t>
      </w:r>
      <w:r>
        <w:rPr>
          <w:rStyle w:val="7"/>
          <w:rFonts w:hint="eastAsia" w:ascii="方正仿宋_GBK" w:hAnsi="方正仿宋_GBK" w:eastAsia="方正仿宋_GBK" w:cs="方正仿宋_GBK"/>
          <w:b w:val="0"/>
          <w:bCs w:val="0"/>
          <w:sz w:val="32"/>
          <w:szCs w:val="32"/>
          <w:lang w:eastAsia="zh-CN"/>
        </w:rPr>
        <w:t>年度区财政局未委托第三方对本部门的政策或项目开展重点绩效评价。</w:t>
      </w:r>
    </w:p>
    <w:p>
      <w:pPr>
        <w:pStyle w:val="4"/>
        <w:shd w:val="clear" w:color="auto" w:fill="FFFFFF"/>
        <w:spacing w:before="0" w:beforeAutospacing="0" w:after="0" w:afterAutospacing="0" w:line="596" w:lineRule="exact"/>
        <w:ind w:firstLine="640" w:firstLineChars="200"/>
        <w:jc w:val="both"/>
        <w:rPr>
          <w:rStyle w:val="7"/>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sz w:val="32"/>
          <w:szCs w:val="32"/>
        </w:rPr>
        <w:t xml:space="preserve">六、专业名词解释                                                                                                 </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（二）事业收入</w:t>
      </w:r>
      <w:r>
        <w:rPr>
          <w:rFonts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（三）经营收入</w:t>
      </w:r>
      <w:r>
        <w:rPr>
          <w:rFonts w:ascii="Times New Roman" w:hAnsi="Times New Roman" w:eastAsia="方正仿宋_GBK" w:cs="Times New Roman"/>
          <w:sz w:val="32"/>
          <w:szCs w:val="32"/>
        </w:rPr>
        <w:t>：指事业单位在专业业务活动及其辅助活动之外开展非独立核算经营活动取得的现金流入。</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（四）其他收入</w:t>
      </w:r>
      <w:r>
        <w:rPr>
          <w:rFonts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（五）使用非财政拨款结余</w:t>
      </w:r>
      <w:r>
        <w:rPr>
          <w:rFonts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（六）年初结转和结余</w:t>
      </w:r>
      <w:r>
        <w:rPr>
          <w:rFonts w:ascii="Times New Roman" w:hAnsi="Times New Roman" w:eastAsia="方正仿宋_GBK" w:cs="Times New Roman"/>
          <w:sz w:val="32"/>
          <w:szCs w:val="32"/>
        </w:rPr>
        <w:t>：指单位上年结转本年使用的基本支出结转、项目支出结转和结余、经营结余。</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（七）结余分配</w:t>
      </w:r>
      <w:r>
        <w:rPr>
          <w:rFonts w:ascii="Times New Roman" w:hAnsi="Times New Roman" w:eastAsia="方正仿宋_GBK" w:cs="Times New Roman"/>
          <w:sz w:val="32"/>
          <w:szCs w:val="32"/>
        </w:rPr>
        <w:t>：指单位按照国家有关规定，</w:t>
      </w:r>
      <w:r>
        <w:rPr>
          <w:rFonts w:hint="eastAsia" w:ascii="Times New Roman" w:hAnsi="Times New Roman" w:eastAsia="方正仿宋_GBK" w:cs="Times New Roman"/>
          <w:sz w:val="32"/>
          <w:szCs w:val="32"/>
        </w:rPr>
        <w:t>交纳</w:t>
      </w:r>
      <w:r>
        <w:rPr>
          <w:rFonts w:ascii="Times New Roman" w:hAnsi="Times New Roman" w:eastAsia="方正仿宋_GBK" w:cs="Times New Roman"/>
          <w:sz w:val="32"/>
          <w:szCs w:val="32"/>
        </w:rPr>
        <w:t>所得税、提取专用基金、转入非财政拨款结余等当年结余的分配情况。</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（八）年末结转和结余</w:t>
      </w:r>
      <w:r>
        <w:rPr>
          <w:rFonts w:ascii="Times New Roman" w:hAnsi="Times New Roman" w:eastAsia="方正仿宋_GBK" w:cs="Times New Roman"/>
          <w:sz w:val="32"/>
          <w:szCs w:val="32"/>
        </w:rPr>
        <w:t>：指单位结转下年的基本支出结转、项目支出结转和结余、经营结余。</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（九）基本支出</w:t>
      </w:r>
      <w:r>
        <w:rPr>
          <w:rFonts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（十）项目支出</w:t>
      </w:r>
      <w:r>
        <w:rPr>
          <w:rFonts w:ascii="Times New Roman" w:hAnsi="Times New Roman" w:eastAsia="方正仿宋_GBK" w:cs="Times New Roman"/>
          <w:sz w:val="32"/>
          <w:szCs w:val="32"/>
        </w:rPr>
        <w:t>：指在基本支出之外为完成特定行政任务和事业发展目标所发生的支出。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（十一）经营支出</w:t>
      </w:r>
      <w:r>
        <w:rPr>
          <w:rFonts w:ascii="Times New Roman" w:hAnsi="Times New Roman" w:eastAsia="方正仿宋_GBK" w:cs="Times New Roman"/>
          <w:sz w:val="32"/>
          <w:szCs w:val="32"/>
        </w:rPr>
        <w:t>：指事业单位在专业业务活动及其辅助活动之外开展非独立核算经营活动发生的支出。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（十二）“三公”经费</w:t>
      </w:r>
      <w:r>
        <w:rPr>
          <w:rFonts w:ascii="Times New Roman" w:hAnsi="Times New Roman" w:eastAsia="方正仿宋_GBK" w:cs="Times New Roman"/>
          <w:sz w:val="32"/>
          <w:szCs w:val="32"/>
        </w:rPr>
        <w:t xml:space="preserve">：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      </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（十三）机关运行经费</w:t>
      </w:r>
      <w:r>
        <w:rPr>
          <w:rFonts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（十四）工资福利支出（支出经济分类科目类级）</w:t>
      </w:r>
      <w:r>
        <w:rPr>
          <w:rFonts w:ascii="Times New Roman" w:hAnsi="Times New Roman" w:eastAsia="方正仿宋_GBK" w:cs="Times New Roman"/>
          <w:sz w:val="32"/>
          <w:szCs w:val="32"/>
        </w:rPr>
        <w:t>：反映单位开支的在职职工和编制外长期聘用人员的各类劳动报酬，以及为上述人员</w:t>
      </w:r>
      <w:r>
        <w:rPr>
          <w:rFonts w:hint="eastAsia" w:ascii="Times New Roman" w:hAnsi="Times New Roman" w:eastAsia="方正仿宋_GBK" w:cs="Times New Roman"/>
          <w:sz w:val="32"/>
          <w:szCs w:val="32"/>
        </w:rPr>
        <w:t>交纳</w:t>
      </w:r>
      <w:r>
        <w:rPr>
          <w:rFonts w:ascii="Times New Roman" w:hAnsi="Times New Roman" w:eastAsia="方正仿宋_GBK" w:cs="Times New Roman"/>
          <w:sz w:val="32"/>
          <w:szCs w:val="32"/>
        </w:rPr>
        <w:t>的各项社会保险费等。</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（十五）商品和服务支出（支出经济分类科目类级）</w:t>
      </w:r>
      <w:r>
        <w:rPr>
          <w:rFonts w:ascii="Times New Roman" w:hAnsi="Times New Roman" w:eastAsia="方正仿宋_GBK" w:cs="Times New Roman"/>
          <w:sz w:val="32"/>
          <w:szCs w:val="32"/>
        </w:rPr>
        <w:t>：反映单位购买商品和服务的支出（不包括用于购置固定资产的支出、战略性和应急储备支出）。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（十六）对个人和家庭的补助（支出经济分类科目类级）</w:t>
      </w:r>
      <w:r>
        <w:rPr>
          <w:rFonts w:ascii="Times New Roman" w:hAnsi="Times New Roman" w:eastAsia="方正仿宋_GBK" w:cs="Times New Roman"/>
          <w:sz w:val="32"/>
          <w:szCs w:val="32"/>
        </w:rPr>
        <w:t>：反映用于对个人和家庭的补助支出。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（十七）其他资本性支出（支出经济分类科目类级）</w:t>
      </w:r>
      <w:r>
        <w:rPr>
          <w:rFonts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pStyle w:val="4"/>
        <w:shd w:val="clear" w:color="auto" w:fill="FFFFFF"/>
        <w:spacing w:before="0" w:beforeAutospacing="0" w:after="0" w:afterAutospacing="0" w:line="596" w:lineRule="exact"/>
        <w:ind w:firstLine="640" w:firstLineChars="200"/>
        <w:jc w:val="both"/>
        <w:rPr>
          <w:rFonts w:ascii="Times New Roman" w:hAnsi="Times New Roman" w:cs="Times New Roman"/>
          <w:sz w:val="32"/>
          <w:szCs w:val="32"/>
        </w:rPr>
      </w:pPr>
      <w:r>
        <w:rPr>
          <w:rStyle w:val="7"/>
          <w:rFonts w:ascii="Times New Roman" w:hAnsi="Times New Roman" w:eastAsia="方正黑体_GBK" w:cs="Times New Roman"/>
          <w:b w:val="0"/>
          <w:sz w:val="32"/>
          <w:szCs w:val="32"/>
        </w:rPr>
        <w:t xml:space="preserve">  七、决算公开联系方式及信息反馈渠道</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本单位决算公开信息反馈和联系方式：023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65541235</w:t>
      </w:r>
      <w:r>
        <w:rPr>
          <w:rFonts w:hint="eastAsia" w:ascii="Times New Roman" w:hAnsi="Times New Roman" w:eastAsia="方正仿宋_GBK" w:cs="Times New Roman"/>
          <w:sz w:val="32"/>
          <w:szCs w:val="32"/>
        </w:rPr>
        <w:t>。</w:t>
      </w:r>
    </w:p>
    <w:sectPr>
      <w:pgSz w:w="11906" w:h="16838"/>
      <w:pgMar w:top="1985" w:right="1446" w:bottom="1644" w:left="1446"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03038"/>
    <w:multiLevelType w:val="singleLevel"/>
    <w:tmpl w:val="82103038"/>
    <w:lvl w:ilvl="0" w:tentative="0">
      <w:start w:val="2"/>
      <w:numFmt w:val="decimal"/>
      <w:suff w:val="nothing"/>
      <w:lvlText w:val="（%1）"/>
      <w:lvlJc w:val="left"/>
    </w:lvl>
  </w:abstractNum>
  <w:abstractNum w:abstractNumId="1">
    <w:nsid w:val="AE85C058"/>
    <w:multiLevelType w:val="singleLevel"/>
    <w:tmpl w:val="AE85C05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70BBD"/>
    <w:rsid w:val="000F0303"/>
    <w:rsid w:val="00101166"/>
    <w:rsid w:val="002108B2"/>
    <w:rsid w:val="002A6E3D"/>
    <w:rsid w:val="002D0F0B"/>
    <w:rsid w:val="002D49D7"/>
    <w:rsid w:val="002D7AAA"/>
    <w:rsid w:val="002D7DBF"/>
    <w:rsid w:val="00311F34"/>
    <w:rsid w:val="00323B43"/>
    <w:rsid w:val="00337635"/>
    <w:rsid w:val="00342B22"/>
    <w:rsid w:val="00385BAA"/>
    <w:rsid w:val="00397834"/>
    <w:rsid w:val="003D298E"/>
    <w:rsid w:val="003D319D"/>
    <w:rsid w:val="003D37D8"/>
    <w:rsid w:val="003E13CA"/>
    <w:rsid w:val="003E6874"/>
    <w:rsid w:val="003F1603"/>
    <w:rsid w:val="003F1ECE"/>
    <w:rsid w:val="00426133"/>
    <w:rsid w:val="004358AB"/>
    <w:rsid w:val="00454C6E"/>
    <w:rsid w:val="0046680C"/>
    <w:rsid w:val="0048485E"/>
    <w:rsid w:val="0049527E"/>
    <w:rsid w:val="004D7B48"/>
    <w:rsid w:val="00527C71"/>
    <w:rsid w:val="00572F4D"/>
    <w:rsid w:val="005909DA"/>
    <w:rsid w:val="005A3959"/>
    <w:rsid w:val="005D6EE2"/>
    <w:rsid w:val="00607DF5"/>
    <w:rsid w:val="00614092"/>
    <w:rsid w:val="00626824"/>
    <w:rsid w:val="00645DE8"/>
    <w:rsid w:val="006E120D"/>
    <w:rsid w:val="00731F27"/>
    <w:rsid w:val="0073492F"/>
    <w:rsid w:val="00780A3A"/>
    <w:rsid w:val="007A27D2"/>
    <w:rsid w:val="0089188B"/>
    <w:rsid w:val="008B7726"/>
    <w:rsid w:val="00966A08"/>
    <w:rsid w:val="00971F12"/>
    <w:rsid w:val="00A30BBD"/>
    <w:rsid w:val="00A40E32"/>
    <w:rsid w:val="00A65C72"/>
    <w:rsid w:val="00A66D19"/>
    <w:rsid w:val="00A77942"/>
    <w:rsid w:val="00AA34F4"/>
    <w:rsid w:val="00AC3236"/>
    <w:rsid w:val="00B10563"/>
    <w:rsid w:val="00B2491C"/>
    <w:rsid w:val="00B46ABB"/>
    <w:rsid w:val="00B8194E"/>
    <w:rsid w:val="00B92496"/>
    <w:rsid w:val="00C073A0"/>
    <w:rsid w:val="00D1587F"/>
    <w:rsid w:val="00D31D50"/>
    <w:rsid w:val="00D478F9"/>
    <w:rsid w:val="00E64114"/>
    <w:rsid w:val="00EF6E20"/>
    <w:rsid w:val="00F51146"/>
    <w:rsid w:val="00F83E41"/>
    <w:rsid w:val="48A420B2"/>
    <w:rsid w:val="62AB3DC7"/>
    <w:rsid w:val="A5FF5D66"/>
    <w:rsid w:val="FBFF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 w:type="character" w:customStyle="1" w:styleId="10">
    <w:name w:val="34"/>
    <w:qFormat/>
    <w:uiPriority w:val="0"/>
    <w:rPr>
      <w:rFonts w:hint="default" w:ascii="Calibri" w:hAnsi="Calibri"/>
      <w:b/>
      <w:bCs/>
    </w:rPr>
  </w:style>
  <w:style w:type="character" w:customStyle="1" w:styleId="11">
    <w:name w:val="font0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1229</Words>
  <Characters>7009</Characters>
  <Lines>58</Lines>
  <Paragraphs>16</Paragraphs>
  <TotalTime>0</TotalTime>
  <ScaleCrop>false</ScaleCrop>
  <LinksUpToDate>false</LinksUpToDate>
  <CharactersWithSpaces>8222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2022-08-17T17:47:00Z</dcterms:created>
  <dc:creator>张润华</dc:creator>
  <cp:lastModifiedBy>guest</cp:lastModifiedBy>
  <dcterms:modified xsi:type="dcterms:W3CDTF">2023-11-15T18:09:03Z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