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eastAsia="方正小标宋_GBK"/>
          <w:color w:val="000000" w:themeColor="text1"/>
          <w:sz w:val="44"/>
          <w:szCs w:val="44"/>
        </w:rPr>
      </w:pPr>
      <w:bookmarkStart w:id="2" w:name="_GoBack"/>
      <w:bookmarkEnd w:id="2"/>
      <w:bookmarkStart w:id="0" w:name="remove_shape_1_0"/>
      <w:bookmarkStart w:id="1" w:name="remove_shape_1"/>
      <w:r>
        <w:rPr>
          <w:color w:val="000000" w:themeColor="text1"/>
          <w:sz w:val="44"/>
        </w:rPr>
        <w:pict>
          <v:group id="_x0000_s1043" o:spid="_x0000_s1043" o:spt="203" style="position:absolute;left:0pt;margin-left:-30.8pt;margin-top:-7.15pt;height:686.15pt;width:507.4pt;z-index:251660288;mso-width-relative:page;mso-height-relative:page;" coordorigin="6380,2238" coordsize="10148,13723">
            <o:lock v:ext="edit" aspectratio="f"/>
            <v:group id="_x0000_s1044" o:spid="_x0000_s1044" o:spt="203" style="position:absolute;left:6380;top:15879;height:82;width:10148;" coordorigin="6380,15879" coordsize="10148,82">
              <o:lock v:ext="edit" aspectratio="f"/>
              <v:shape id="_x0000_s1045" o:spid="_x0000_s1045" o:spt="136" type="#_x0000_t136" style="position:absolute;left:6380;top:15933;height:28;width:10148;" fillcolor="#FF0000" filled="t" stroked="t" coordsize="21600,21600" adj="10800">
                <v:path/>
                <v:fill on="t" color2="#FFFFFF" focussize="0,0"/>
                <v:stroke weight="0.25pt" color="#FF0000"/>
                <v:imagedata o:title=""/>
                <o:lock v:ext="edit" aspectratio="f"/>
                <v:textpath on="t" fitshape="t" fitpath="t" trim="t" xscale="f" string="-" style="font-family:宋体;font-size:36pt;v-text-align:center;"/>
              </v:shape>
              <v:line id="_x0000_s1046" o:spid="_x0000_s1046" o:spt="20" style="position:absolute;left:7009;top:15879;height:0;width:8816;" filled="f" stroked="t" coordsize="21600,21600">
                <v:path arrowok="t"/>
                <v:fill on="f" focussize="0,0"/>
                <v:stroke color="#FF0000"/>
                <v:imagedata o:title=""/>
                <o:lock v:ext="edit" aspectratio="f"/>
              </v:line>
            </v:group>
            <v:group id="_x0000_s1047" o:spid="_x0000_s1047" o:spt="203" style="position:absolute;left:6983;top:2238;height:1425;width:8872;" coordorigin="6983,2238" coordsize="8872,1425">
              <o:lock v:ext="edit" aspectratio="f"/>
              <v:shape id="_x0000_s1048" o:spid="_x0000_s1048" o:spt="136" type="#_x0000_t136" style="position:absolute;left:7458;top:2238;height:1077;width:7920;" fillcolor="#FF0000" filled="t" stroked="t" coordsize="21600,21600" adj="10800">
                <v:path/>
                <v:fill on="t" color2="#FFFFFF" focussize="0,0"/>
                <v:stroke weight="1pt" color="#FF0000"/>
                <v:imagedata o:title=""/>
                <o:lock v:ext="edit" aspectratio="f"/>
                <v:textpath on="t" fitshape="t" fitpath="t" trim="t" xscale="f" string="重庆市全面实施市场准入负面清单制度领导小组办公室" style="font-family:方正小标宋_GBK;font-size:36pt;font-weight:bold;v-text-align:center;"/>
              </v:shape>
              <v:group id="_x0000_s1049" o:spid="_x0000_s1049" o:spt="203" style="position:absolute;left:6983;top:3605;height:58;width:8872;" coordorigin="6983,3605" coordsize="8872,58">
                <o:lock v:ext="edit" aspectratio="f"/>
                <v:line id="_x0000_s1050" o:spid="_x0000_s1050" o:spt="20" style="position:absolute;left:6983;top:3605;height:1;width:8872;" filled="f" stroked="t" coordsize="21600,21600">
                  <v:path arrowok="t"/>
                  <v:fill on="f" focussize="0,0"/>
                  <v:stroke weight="2.25pt" color="#FF0000"/>
                  <v:imagedata o:title=""/>
                  <o:lock v:ext="edit" aspectratio="f"/>
                </v:line>
                <v:line id="_x0000_s1051" o:spid="_x0000_s1051" o:spt="20" style="position:absolute;left:6983;top:3663;height:1;width:8872;" filled="f" stroked="t" coordsize="21600,21600">
                  <v:path arrowok="t"/>
                  <v:fill on="f" focussize="0,0"/>
                  <v:stroke color="#FF0000"/>
                  <v:imagedata o:title=""/>
                  <o:lock v:ext="edit" aspectratio="f"/>
                </v:line>
              </v:group>
            </v:group>
          </v:group>
        </w:pict>
      </w:r>
    </w:p>
    <w:p>
      <w:pPr>
        <w:spacing w:line="240" w:lineRule="auto"/>
        <w:jc w:val="center"/>
        <w:rPr>
          <w:rFonts w:eastAsia="方正小标宋_GBK"/>
          <w:color w:val="000000" w:themeColor="text1"/>
          <w:sz w:val="44"/>
          <w:szCs w:val="44"/>
        </w:rPr>
      </w:pPr>
    </w:p>
    <w:bookmarkEnd w:id="0"/>
    <w:bookmarkEnd w:id="1"/>
    <w:p>
      <w:pPr>
        <w:spacing w:beforeLines="0" w:afterLines="0" w:line="580" w:lineRule="exac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vanish w:val="0"/>
          <w:sz w:val="32"/>
          <w:szCs w:val="32"/>
        </w:rPr>
        <w:t xml:space="preserve">                         渝发改体改函〔2022〕147号</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Lines="0" w:afterAutospacing="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333333"/>
          <w:kern w:val="0"/>
          <w:sz w:val="44"/>
          <w:szCs w:val="44"/>
          <w:shd w:val="clear" w:color="auto" w:fill="FFFFFF"/>
          <w:lang w:bidi="ar"/>
        </w:rPr>
      </w:pP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Lines="0" w:afterAutospacing="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333333"/>
          <w:kern w:val="0"/>
          <w:sz w:val="44"/>
          <w:szCs w:val="44"/>
          <w:shd w:val="clear" w:color="auto" w:fill="FFFFFF"/>
          <w:lang w:bidi="ar"/>
        </w:rPr>
      </w:pP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Lines="0" w:afterAutospacing="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333333"/>
          <w:kern w:val="0"/>
          <w:sz w:val="44"/>
          <w:szCs w:val="44"/>
          <w:shd w:val="clear" w:color="auto" w:fill="FFFFFF"/>
          <w:lang w:bidi="ar"/>
        </w:rPr>
      </w:pPr>
      <w:r>
        <w:rPr>
          <w:rFonts w:hint="eastAsia" w:ascii="方正小标宋_GBK" w:hAnsi="方正小标宋_GBK" w:eastAsia="方正小标宋_GBK" w:cs="方正小标宋_GBK"/>
          <w:bCs/>
          <w:color w:val="333333"/>
          <w:kern w:val="0"/>
          <w:sz w:val="44"/>
          <w:szCs w:val="44"/>
          <w:shd w:val="clear" w:color="auto" w:fill="FFFFFF"/>
          <w:lang w:bidi="ar"/>
        </w:rPr>
        <w:t>关于全面落实《市场准入负面清单</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Lines="0" w:afterAutospacing="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333333"/>
          <w:sz w:val="44"/>
          <w:szCs w:val="44"/>
        </w:rPr>
      </w:pPr>
      <w:r>
        <w:rPr>
          <w:rFonts w:hint="eastAsia" w:ascii="方正小标宋_GBK" w:hAnsi="方正小标宋_GBK" w:eastAsia="方正小标宋_GBK" w:cs="方正小标宋_GBK"/>
          <w:bCs/>
          <w:color w:val="333333"/>
          <w:kern w:val="0"/>
          <w:sz w:val="44"/>
          <w:szCs w:val="44"/>
          <w:shd w:val="clear" w:color="auto" w:fill="FFFFFF"/>
          <w:lang w:bidi="ar"/>
        </w:rPr>
        <w:t>（2022年版）》有关工作的通知</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r>
        <w:rPr>
          <w:rFonts w:hint="eastAsia" w:ascii="方正仿宋_GBK" w:hAnsi="方正仿宋_GBK" w:eastAsia="方正仿宋_GBK" w:cs="方正仿宋_GBK"/>
          <w:bCs/>
          <w:color w:val="333333"/>
          <w:kern w:val="0"/>
          <w:sz w:val="32"/>
          <w:szCs w:val="32"/>
          <w:shd w:val="clear" w:color="auto" w:fill="FFFFFF"/>
          <w:lang w:bidi="ar"/>
        </w:rPr>
        <w:t>市级相关部门，有关单位，各区县（自治县）发展改革委，两江新区经济运行局、重庆高新区改革发展局、万盛经开区发展改革局：</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r>
        <w:rPr>
          <w:rFonts w:hint="eastAsia" w:ascii="方正仿宋_GBK" w:hAnsi="方正仿宋_GBK" w:eastAsia="方正仿宋_GBK" w:cs="方正仿宋_GBK"/>
          <w:bCs/>
          <w:color w:val="333333"/>
          <w:kern w:val="0"/>
          <w:sz w:val="32"/>
          <w:szCs w:val="32"/>
          <w:shd w:val="clear" w:color="auto" w:fill="FFFFFF"/>
          <w:lang w:bidi="ar"/>
        </w:rPr>
        <w:t>实施全国统一的市场准入负面清单制度，是党中央、国务院作出的重大决策部署，是加快建设全国统一大市场、完善社会主体市场经济体制的重要制度安排。《市场准入负面清单（2022年版）》已由国家发展改革委、商务部联合发布实施，现将《市场准入负面清单（2022年版）》任务分工印发给你们，并就贯彻落实有关要求通知如下。</w:t>
      </w:r>
      <w:r>
        <w:rPr>
          <w:rFonts w:hint="eastAsia" w:ascii="方正仿宋_GBK" w:hAnsi="方正仿宋_GBK" w:eastAsia="方正仿宋_GBK" w:cs="方正仿宋_GBK"/>
          <w:bCs/>
          <w:color w:val="333333"/>
          <w:kern w:val="0"/>
          <w:sz w:val="32"/>
          <w:szCs w:val="32"/>
          <w:shd w:val="clear" w:color="auto" w:fill="FFFFFF"/>
          <w:lang w:bidi="ar"/>
        </w:rPr>
        <w:br w:type="textWrapping"/>
      </w:r>
      <w:r>
        <w:rPr>
          <w:rFonts w:hint="eastAsia" w:ascii="方正仿宋_GBK" w:hAnsi="方正仿宋_GBK" w:eastAsia="方正仿宋_GBK" w:cs="方正仿宋_GBK"/>
          <w:bCs/>
          <w:color w:val="333333"/>
          <w:kern w:val="0"/>
          <w:sz w:val="32"/>
          <w:szCs w:val="32"/>
          <w:shd w:val="clear" w:color="auto" w:fill="FFFFFF"/>
          <w:lang w:bidi="ar"/>
        </w:rPr>
        <w:t>  </w:t>
      </w:r>
      <w:r>
        <w:rPr>
          <w:rFonts w:hint="eastAsia" w:ascii="方正黑体_GBK" w:hAnsi="方正黑体_GBK" w:eastAsia="方正黑体_GBK" w:cs="方正黑体_GBK"/>
          <w:bCs/>
          <w:color w:val="333333"/>
          <w:kern w:val="0"/>
          <w:sz w:val="32"/>
          <w:szCs w:val="32"/>
          <w:shd w:val="clear" w:color="auto" w:fill="FFFFFF"/>
          <w:lang w:bidi="ar"/>
        </w:rPr>
        <w:t>一、严格落实“全国一张清单”管理要求。</w:t>
      </w:r>
      <w:r>
        <w:rPr>
          <w:rFonts w:hint="eastAsia" w:ascii="方正仿宋_GBK" w:hAnsi="方正仿宋_GBK" w:eastAsia="方正仿宋_GBK" w:cs="方正仿宋_GBK"/>
          <w:bCs/>
          <w:color w:val="333333"/>
          <w:kern w:val="0"/>
          <w:sz w:val="32"/>
          <w:szCs w:val="32"/>
          <w:shd w:val="clear" w:color="auto" w:fill="FFFFFF"/>
          <w:lang w:bidi="ar"/>
        </w:rPr>
        <w:t>各区县、各部门不得自行发布具有市场准入性质的负面清单，坚决维护市场准入负面清单制度的统一性、严肃性和权威性，确保“一单尽列、单外无单”。严格落实“非禁即入”要求，对清单之外的行业、领域、业务等，各类市场主体皆可依法平等进入，不得违规另设市场准入行政审批和</w:t>
      </w:r>
      <w:r>
        <w:rPr>
          <w:rFonts w:ascii="方正仿宋_GBK" w:hAnsi="方正仿宋_GBK" w:eastAsia="方正仿宋_GBK" w:cs="方正仿宋_GBK"/>
          <w:bCs/>
          <w:color w:val="333333"/>
          <w:kern w:val="0"/>
          <w:sz w:val="32"/>
          <w:szCs w:val="32"/>
          <w:shd w:val="clear" w:color="auto" w:fill="FFFFFF"/>
          <w:lang w:bidi="ar"/>
        </w:rPr>
        <w:t>变相设定准入障碍</w:t>
      </w:r>
      <w:r>
        <w:rPr>
          <w:rFonts w:hint="eastAsia" w:ascii="方正仿宋_GBK" w:hAnsi="方正仿宋_GBK" w:eastAsia="方正仿宋_GBK" w:cs="方正仿宋_GBK"/>
          <w:bCs/>
          <w:color w:val="333333"/>
          <w:kern w:val="0"/>
          <w:sz w:val="32"/>
          <w:szCs w:val="32"/>
          <w:shd w:val="clear" w:color="auto" w:fill="FFFFFF"/>
          <w:lang w:bidi="ar"/>
        </w:rPr>
        <w:t>。对清单所列事项，各区县、各部门要持续优化管理方式，严格规范审批行为，优化审批流程，提高审批效率，正确高效地履行职责。对属于国家事权的准入事项，要做好衔接落实和向市场主体咨询服务工作。</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r>
        <w:rPr>
          <w:rFonts w:hint="eastAsia" w:ascii="方正黑体_GBK" w:hAnsi="方正黑体_GBK" w:eastAsia="方正黑体_GBK" w:cs="方正黑体_GBK"/>
          <w:bCs/>
          <w:color w:val="333333"/>
          <w:kern w:val="0"/>
          <w:sz w:val="32"/>
          <w:szCs w:val="32"/>
          <w:shd w:val="clear" w:color="auto" w:fill="FFFFFF"/>
          <w:lang w:bidi="ar"/>
        </w:rPr>
        <w:t>二、切实履行政府监管责任。</w:t>
      </w:r>
      <w:r>
        <w:rPr>
          <w:rFonts w:hint="eastAsia" w:ascii="方正仿宋_GBK" w:hAnsi="方正仿宋_GBK" w:eastAsia="方正仿宋_GBK" w:cs="方正仿宋_GBK"/>
          <w:bCs/>
          <w:color w:val="333333"/>
          <w:kern w:val="0"/>
          <w:sz w:val="32"/>
          <w:szCs w:val="32"/>
          <w:shd w:val="clear" w:color="auto" w:fill="FFFFFF"/>
          <w:lang w:bidi="ar"/>
        </w:rPr>
        <w:t>各区县、各部门要落实法律法规和“三定”明确的监管职责，对法律法规和“三定”规定未明确监管职责的，按照“谁审批、谁监管，谁主管、谁监管”的原则，全面夯实监管责任。要严格落实放管结合、并重要求，坚决纠正“以批代管”“不批不管”等问题，防止出现监管真空。健全监管规则，创新监管方式，实现事前事中事后全链条全领域监管，提高监管的精准性有效性。强化反垄断监管，防止资本无序扩张、野蛮生长、违规炒作，冲击经济社会发展秩序。强化公平竞争审查刚性约束，清理废除妨碍依法平等准入的规定做法。进一步健全完善与市场准入负面清单制度相适应的准入机制、审批机制、社会信用体系和激励惩戒机制、商事登记制度等，系统集成、协同高效地推进市场准入制度改革工作。</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r>
        <w:rPr>
          <w:rFonts w:hint="eastAsia" w:ascii="方正黑体_GBK" w:hAnsi="方正黑体_GBK" w:eastAsia="方正黑体_GBK" w:cs="方正黑体_GBK"/>
          <w:bCs/>
          <w:color w:val="333333"/>
          <w:kern w:val="0"/>
          <w:sz w:val="32"/>
          <w:szCs w:val="32"/>
          <w:shd w:val="clear" w:color="auto" w:fill="FFFFFF"/>
          <w:lang w:bidi="ar"/>
        </w:rPr>
        <w:t>三、</w:t>
      </w:r>
      <w:r>
        <w:rPr>
          <w:rFonts w:hint="default" w:ascii="方正黑体_GBK" w:hAnsi="方正黑体_GBK" w:eastAsia="方正黑体_GBK" w:cs="方正黑体_GBK"/>
          <w:bCs/>
          <w:color w:val="333333"/>
          <w:kern w:val="0"/>
          <w:sz w:val="32"/>
          <w:szCs w:val="32"/>
          <w:shd w:val="clear" w:color="auto" w:fill="FFFFFF"/>
          <w:lang w:bidi="ar"/>
        </w:rPr>
        <w:t>建立</w:t>
      </w:r>
      <w:r>
        <w:rPr>
          <w:rFonts w:hint="eastAsia" w:ascii="方正黑体_GBK" w:hAnsi="方正黑体_GBK" w:eastAsia="方正黑体_GBK" w:cs="方正黑体_GBK"/>
          <w:bCs/>
          <w:color w:val="333333"/>
          <w:kern w:val="0"/>
          <w:sz w:val="32"/>
          <w:szCs w:val="32"/>
          <w:shd w:val="clear" w:color="auto" w:fill="FFFFFF"/>
          <w:lang w:bidi="ar"/>
        </w:rPr>
        <w:t>完善</w:t>
      </w:r>
      <w:r>
        <w:rPr>
          <w:rFonts w:hint="default" w:ascii="方正黑体_GBK" w:hAnsi="方正黑体_GBK" w:eastAsia="方正黑体_GBK" w:cs="方正黑体_GBK"/>
          <w:bCs/>
          <w:color w:val="333333"/>
          <w:kern w:val="0"/>
          <w:sz w:val="32"/>
          <w:szCs w:val="32"/>
          <w:shd w:val="clear" w:color="auto" w:fill="FFFFFF"/>
          <w:lang w:bidi="ar"/>
        </w:rPr>
        <w:t>案例归集和通报制度</w:t>
      </w:r>
      <w:r>
        <w:rPr>
          <w:rFonts w:hint="eastAsia" w:ascii="方正黑体_GBK" w:hAnsi="方正黑体_GBK" w:eastAsia="方正黑体_GBK" w:cs="方正黑体_GBK"/>
          <w:bCs/>
          <w:color w:val="333333"/>
          <w:kern w:val="0"/>
          <w:sz w:val="32"/>
          <w:szCs w:val="32"/>
          <w:shd w:val="clear" w:color="auto" w:fill="FFFFFF"/>
          <w:lang w:bidi="ar"/>
        </w:rPr>
        <w:t>。</w:t>
      </w:r>
      <w:r>
        <w:rPr>
          <w:rFonts w:hint="eastAsia" w:ascii="方正仿宋_GBK" w:hAnsi="方正仿宋_GBK" w:eastAsia="方正仿宋_GBK" w:cs="方正仿宋_GBK"/>
          <w:bCs/>
          <w:color w:val="333333"/>
          <w:kern w:val="0"/>
          <w:sz w:val="32"/>
          <w:szCs w:val="32"/>
          <w:shd w:val="clear" w:color="auto" w:fill="FFFFFF"/>
          <w:lang w:bidi="ar"/>
        </w:rPr>
        <w:t>按照《重庆市发展改革委关于建立违背市场准入负面清单案例定期排查归集制度及开展市场准入效能评估试点的通知》（渝发改体改</w:t>
      </w:r>
      <w:r>
        <w:rPr>
          <w:rFonts w:ascii="方正仿宋_GBK" w:hAnsi="方正仿宋_GBK" w:eastAsia="方正仿宋_GBK" w:cs="方正仿宋_GBK"/>
          <w:bCs/>
          <w:color w:val="333333"/>
          <w:kern w:val="0"/>
          <w:sz w:val="32"/>
          <w:szCs w:val="32"/>
          <w:shd w:val="clear" w:color="auto" w:fill="FFFFFF"/>
          <w:lang w:bidi="ar"/>
        </w:rPr>
        <w:t>〔2021〕1722号）</w:t>
      </w:r>
      <w:r>
        <w:rPr>
          <w:rFonts w:hint="eastAsia" w:ascii="方正仿宋_GBK" w:hAnsi="方正仿宋_GBK" w:eastAsia="方正仿宋_GBK" w:cs="方正仿宋_GBK"/>
          <w:bCs/>
          <w:color w:val="333333"/>
          <w:kern w:val="0"/>
          <w:sz w:val="32"/>
          <w:szCs w:val="32"/>
          <w:shd w:val="clear" w:color="auto" w:fill="FFFFFF"/>
          <w:lang w:bidi="ar"/>
        </w:rPr>
        <w:t>，各区县、各部门要建立定期排查、投诉受理、核查反馈和整改督办机制，重点排查清理违背市场准入负面清单禁止准入类或许可准入类事项要求进行审批；市场主体违规进入市场准入负面清单禁止或限制进入的行业、领域、业务；违规设置市场准入隐性壁垒等各类情况，</w:t>
      </w:r>
      <w:r>
        <w:rPr>
          <w:rFonts w:ascii="方正仿宋_GBK" w:hAnsi="方正仿宋_GBK" w:eastAsia="方正仿宋_GBK" w:cs="方正仿宋_GBK"/>
          <w:bCs/>
          <w:color w:val="333333"/>
          <w:kern w:val="0"/>
          <w:sz w:val="32"/>
          <w:szCs w:val="32"/>
          <w:shd w:val="clear" w:color="auto" w:fill="FFFFFF"/>
          <w:lang w:bidi="ar"/>
        </w:rPr>
        <w:t>如发现清单之外违规设立其他市场准入事项</w:t>
      </w:r>
      <w:r>
        <w:rPr>
          <w:rFonts w:hint="eastAsia" w:ascii="方正仿宋_GBK" w:hAnsi="方正仿宋_GBK" w:eastAsia="方正仿宋_GBK" w:cs="方正仿宋_GBK"/>
          <w:bCs/>
          <w:color w:val="333333"/>
          <w:kern w:val="0"/>
          <w:sz w:val="32"/>
          <w:szCs w:val="32"/>
          <w:shd w:val="clear" w:color="auto" w:fill="FFFFFF"/>
          <w:lang w:bidi="ar"/>
        </w:rPr>
        <w:t>和准入隐形壁垒</w:t>
      </w:r>
      <w:r>
        <w:rPr>
          <w:rFonts w:ascii="方正仿宋_GBK" w:hAnsi="方正仿宋_GBK" w:eastAsia="方正仿宋_GBK" w:cs="方正仿宋_GBK"/>
          <w:bCs/>
          <w:color w:val="333333"/>
          <w:kern w:val="0"/>
          <w:sz w:val="32"/>
          <w:szCs w:val="32"/>
          <w:shd w:val="clear" w:color="auto" w:fill="FFFFFF"/>
          <w:lang w:bidi="ar"/>
        </w:rPr>
        <w:t>，</w:t>
      </w:r>
      <w:r>
        <w:rPr>
          <w:rFonts w:hint="eastAsia" w:ascii="方正仿宋_GBK" w:hAnsi="方正仿宋_GBK" w:eastAsia="方正仿宋_GBK" w:cs="方正仿宋_GBK"/>
          <w:bCs/>
          <w:color w:val="333333"/>
          <w:kern w:val="0"/>
          <w:sz w:val="32"/>
          <w:szCs w:val="32"/>
          <w:shd w:val="clear" w:color="auto" w:fill="FFFFFF"/>
          <w:lang w:bidi="ar"/>
        </w:rPr>
        <w:t>应</w:t>
      </w:r>
      <w:r>
        <w:rPr>
          <w:rFonts w:ascii="方正仿宋_GBK" w:hAnsi="方正仿宋_GBK" w:eastAsia="方正仿宋_GBK" w:cs="方正仿宋_GBK"/>
          <w:bCs/>
          <w:color w:val="333333"/>
          <w:kern w:val="0"/>
          <w:sz w:val="32"/>
          <w:szCs w:val="32"/>
          <w:shd w:val="clear" w:color="auto" w:fill="FFFFFF"/>
          <w:lang w:bidi="ar"/>
        </w:rPr>
        <w:t>立即予以清理</w:t>
      </w:r>
      <w:r>
        <w:rPr>
          <w:rFonts w:hint="eastAsia" w:ascii="方正仿宋_GBK" w:hAnsi="方正仿宋_GBK" w:eastAsia="方正仿宋_GBK" w:cs="方正仿宋_GBK"/>
          <w:bCs/>
          <w:color w:val="333333"/>
          <w:kern w:val="0"/>
          <w:sz w:val="32"/>
          <w:szCs w:val="32"/>
          <w:shd w:val="clear" w:color="auto" w:fill="FFFFFF"/>
          <w:lang w:bidi="ar"/>
        </w:rPr>
        <w:t>。对违规事实清晰或已查实案例，于每季度结束后</w:t>
      </w:r>
      <w:r>
        <w:rPr>
          <w:rFonts w:ascii="方正仿宋_GBK" w:hAnsi="方正仿宋_GBK" w:eastAsia="方正仿宋_GBK" w:cs="方正仿宋_GBK"/>
          <w:bCs/>
          <w:color w:val="333333"/>
          <w:kern w:val="0"/>
          <w:sz w:val="32"/>
          <w:szCs w:val="32"/>
          <w:shd w:val="clear" w:color="auto" w:fill="FFFFFF"/>
          <w:lang w:bidi="ar"/>
        </w:rPr>
        <w:t>5日</w:t>
      </w:r>
      <w:r>
        <w:rPr>
          <w:rFonts w:hint="eastAsia" w:ascii="方正仿宋_GBK" w:hAnsi="方正仿宋_GBK" w:eastAsia="方正仿宋_GBK" w:cs="方正仿宋_GBK"/>
          <w:bCs/>
          <w:color w:val="333333"/>
          <w:kern w:val="0"/>
          <w:sz w:val="32"/>
          <w:szCs w:val="32"/>
          <w:shd w:val="clear" w:color="auto" w:fill="FFFFFF"/>
          <w:lang w:bidi="ar"/>
        </w:rPr>
        <w:t>内报送市发展改革委汇总，按程序上报国家发展改革委。</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r>
        <w:rPr>
          <w:rFonts w:hint="eastAsia" w:ascii="方正黑体_GBK" w:hAnsi="方正黑体_GBK" w:eastAsia="方正黑体_GBK" w:cs="方正黑体_GBK"/>
          <w:bCs/>
          <w:color w:val="333333"/>
          <w:kern w:val="0"/>
          <w:sz w:val="32"/>
          <w:szCs w:val="32"/>
          <w:shd w:val="clear" w:color="auto" w:fill="FFFFFF"/>
          <w:lang w:bidi="ar"/>
        </w:rPr>
        <w:t>四、组织开展市场准入效能评估试点。</w:t>
      </w:r>
      <w:r>
        <w:rPr>
          <w:rFonts w:hint="eastAsia" w:ascii="方正仿宋_GBK" w:hAnsi="方正仿宋_GBK" w:eastAsia="方正仿宋_GBK" w:cs="方正仿宋_GBK"/>
          <w:bCs/>
          <w:color w:val="333333"/>
          <w:kern w:val="0"/>
          <w:sz w:val="32"/>
          <w:szCs w:val="32"/>
          <w:shd w:val="clear" w:color="auto" w:fill="FFFFFF"/>
          <w:lang w:bidi="ar"/>
        </w:rPr>
        <w:t>积极推进营商环境创新改革试点，按照国家市场准入效能评估指标体系总体要求，</w:t>
      </w:r>
      <w:r>
        <w:rPr>
          <w:rFonts w:hint="eastAsia" w:ascii="方正仿宋_GBK" w:hAnsi="方正仿宋_GBK" w:eastAsia="方正仿宋_GBK" w:cs="方正仿宋_GBK"/>
          <w:bCs/>
          <w:color w:val="333333"/>
          <w:kern w:val="0"/>
          <w:sz w:val="32"/>
          <w:szCs w:val="32"/>
          <w:shd w:val="clear" w:color="auto" w:fill="FFFFFF"/>
          <w:lang w:bidi="ar"/>
        </w:rPr>
        <w:t>研究形成符合我市实际的市场准入效能评估指标体系</w:t>
      </w:r>
      <w:r>
        <w:rPr>
          <w:rFonts w:hint="eastAsia" w:ascii="方正仿宋_GBK" w:hAnsi="方正仿宋_GBK" w:eastAsia="方正仿宋_GBK" w:cs="方正仿宋_GBK"/>
          <w:bCs/>
          <w:color w:val="333333"/>
          <w:kern w:val="0"/>
          <w:sz w:val="32"/>
          <w:szCs w:val="32"/>
          <w:shd w:val="clear" w:color="auto" w:fill="FFFFFF"/>
          <w:lang w:bidi="ar"/>
        </w:rPr>
        <w:t>和配套工作制度。组织开展市场准入效能试评估，探索效能评估实施和结果运用长效机制。各区县、各部门要切实加强组织领导，采取多种形式开展市场准入负面清单制度和市场准入效能评估的宣传解读，对照效能评估指标体系，建立完善相关工作制度，不断提升市场准入服务效能。</w:t>
      </w:r>
    </w:p>
    <w:p>
      <w:pPr>
        <w:keepNext w:val="0"/>
        <w:keepLines w:val="0"/>
        <w:pageBreakBefore w:val="0"/>
        <w:kinsoku/>
        <w:wordWrap/>
        <w:overflowPunct/>
        <w:topLinePunct w:val="0"/>
        <w:autoSpaceDE/>
        <w:autoSpaceDN/>
        <w:bidi w:val="0"/>
        <w:adjustRightInd/>
        <w:snapToGrid/>
        <w:spacing w:beforeLines="0" w:afterLines="0" w:line="240" w:lineRule="auto"/>
        <w:ind w:left="0" w:leftChars="0" w:right="0" w:rightChars="0" w:firstLine="640" w:firstLineChars="20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r>
        <w:rPr>
          <w:rFonts w:hint="eastAsia" w:ascii="方正仿宋_GBK" w:hAnsi="方正仿宋_GBK" w:eastAsia="方正仿宋_GBK" w:cs="方正仿宋_GBK"/>
          <w:bCs/>
          <w:color w:val="333333"/>
          <w:kern w:val="0"/>
          <w:sz w:val="32"/>
          <w:szCs w:val="32"/>
          <w:shd w:val="clear" w:color="auto" w:fill="FFFFFF"/>
          <w:lang w:bidi="ar"/>
        </w:rPr>
        <w:t>附件：1</w:t>
      </w:r>
      <w:r>
        <w:rPr>
          <w:rFonts w:hint="eastAsia" w:ascii="方正仿宋_GBK" w:hAnsi="方正仿宋_GBK" w:eastAsia="方正仿宋_GBK" w:cs="方正仿宋_GBK"/>
          <w:bCs/>
          <w:color w:val="333333"/>
          <w:kern w:val="0"/>
          <w:sz w:val="32"/>
          <w:szCs w:val="32"/>
          <w:shd w:val="clear" w:color="auto" w:fill="FFFFFF"/>
          <w:lang w:eastAsia="zh-CN" w:bidi="ar"/>
        </w:rPr>
        <w:t>．</w:t>
      </w:r>
      <w:r>
        <w:rPr>
          <w:rFonts w:hint="eastAsia" w:ascii="方正仿宋_GBK" w:hAnsi="方正仿宋_GBK" w:eastAsia="方正仿宋_GBK" w:cs="方正仿宋_GBK"/>
          <w:bCs/>
          <w:color w:val="333333"/>
          <w:kern w:val="0"/>
          <w:sz w:val="32"/>
          <w:szCs w:val="32"/>
          <w:shd w:val="clear" w:color="auto" w:fill="FFFFFF"/>
          <w:lang w:bidi="ar"/>
        </w:rPr>
        <w:t>《市场准入负面清单（2022年版）》任务分工</w:t>
      </w:r>
    </w:p>
    <w:p>
      <w:pPr>
        <w:keepNext w:val="0"/>
        <w:keepLines w:val="0"/>
        <w:pageBreakBefore w:val="0"/>
        <w:kinsoku/>
        <w:wordWrap/>
        <w:overflowPunct/>
        <w:topLinePunct w:val="0"/>
        <w:autoSpaceDE/>
        <w:autoSpaceDN/>
        <w:bidi w:val="0"/>
        <w:adjustRightInd/>
        <w:snapToGrid/>
        <w:spacing w:beforeLines="0" w:afterLines="0" w:line="240" w:lineRule="auto"/>
        <w:ind w:left="0" w:leftChars="0" w:right="0" w:rightChars="0" w:firstLine="1600" w:firstLineChars="50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r>
        <w:rPr>
          <w:rFonts w:hint="eastAsia" w:ascii="方正仿宋_GBK" w:hAnsi="方正仿宋_GBK" w:eastAsia="方正仿宋_GBK" w:cs="方正仿宋_GBK"/>
          <w:bCs/>
          <w:color w:val="333333"/>
          <w:kern w:val="0"/>
          <w:sz w:val="32"/>
          <w:szCs w:val="32"/>
          <w:shd w:val="clear" w:color="auto" w:fill="FFFFFF"/>
          <w:lang w:bidi="ar"/>
        </w:rPr>
        <w:t>2</w:t>
      </w:r>
      <w:r>
        <w:rPr>
          <w:rFonts w:hint="eastAsia" w:ascii="方正仿宋_GBK" w:hAnsi="方正仿宋_GBK" w:eastAsia="方正仿宋_GBK" w:cs="方正仿宋_GBK"/>
          <w:bCs/>
          <w:color w:val="333333"/>
          <w:kern w:val="0"/>
          <w:sz w:val="32"/>
          <w:szCs w:val="32"/>
          <w:shd w:val="clear" w:color="auto" w:fill="FFFFFF"/>
          <w:lang w:eastAsia="zh-CN" w:bidi="ar"/>
        </w:rPr>
        <w:t>．</w:t>
      </w:r>
      <w:r>
        <w:rPr>
          <w:rFonts w:hint="eastAsia" w:ascii="方正仿宋_GBK" w:hAnsi="方正仿宋_GBK" w:eastAsia="方正仿宋_GBK" w:cs="方正仿宋_GBK"/>
          <w:bCs/>
          <w:color w:val="333333"/>
          <w:kern w:val="0"/>
          <w:sz w:val="32"/>
          <w:szCs w:val="32"/>
          <w:shd w:val="clear" w:color="auto" w:fill="FFFFFF"/>
          <w:lang w:bidi="ar"/>
        </w:rPr>
        <w:t>《与市场准入相关的禁止性规定》任务分工</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beforeLines="0" w:afterLines="0" w:line="240" w:lineRule="auto"/>
        <w:ind w:left="0" w:leftChars="0" w:right="0" w:rightChars="0" w:firstLine="640" w:firstLineChars="200"/>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Lines="0" w:afterAutospacing="0" w:line="240" w:lineRule="auto"/>
        <w:ind w:left="0" w:leftChars="0" w:right="0" w:rightChars="0" w:firstLine="0" w:firstLineChars="0"/>
        <w:jc w:val="right"/>
        <w:textAlignment w:val="auto"/>
        <w:outlineLvl w:val="9"/>
        <w:rPr>
          <w:rFonts w:hint="eastAsia" w:ascii="方正仿宋_GBK" w:hAnsi="方正仿宋_GBK" w:eastAsia="方正仿宋_GBK" w:cs="方正仿宋_GBK"/>
          <w:bCs/>
          <w:color w:val="333333"/>
          <w:spacing w:val="-20"/>
          <w:kern w:val="0"/>
          <w:sz w:val="32"/>
          <w:szCs w:val="32"/>
          <w:shd w:val="clear" w:color="auto" w:fill="FFFFFF"/>
          <w:lang w:bidi="ar"/>
        </w:rPr>
      </w:pPr>
      <w:r>
        <w:rPr>
          <w:rFonts w:hint="eastAsia" w:ascii="方正仿宋_GBK" w:hAnsi="方正仿宋_GBK" w:eastAsia="方正仿宋_GBK" w:cs="方正仿宋_GBK"/>
          <w:bCs/>
          <w:color w:val="333333"/>
          <w:spacing w:val="-20"/>
          <w:kern w:val="0"/>
          <w:sz w:val="32"/>
          <w:szCs w:val="32"/>
          <w:shd w:val="clear" w:color="auto" w:fill="FFFFFF"/>
          <w:lang w:bidi="ar"/>
        </w:rPr>
        <w:t>重庆市全面实施市场准入负面清单制度领导小组办公室</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Lines="0" w:beforeAutospacing="0" w:afterLines="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bCs/>
          <w:color w:val="333333"/>
          <w:kern w:val="0"/>
          <w:sz w:val="32"/>
          <w:szCs w:val="32"/>
          <w:shd w:val="clear" w:color="auto" w:fill="FFFFFF"/>
          <w:lang w:bidi="ar"/>
        </w:rPr>
      </w:pPr>
      <w:r>
        <w:rPr>
          <w:rFonts w:hint="eastAsia" w:ascii="方正仿宋_GBK" w:hAnsi="方正仿宋_GBK" w:eastAsia="方正仿宋_GBK" w:cs="方正仿宋_GBK"/>
          <w:bCs/>
          <w:color w:val="333333"/>
          <w:kern w:val="0"/>
          <w:sz w:val="32"/>
          <w:szCs w:val="32"/>
          <w:shd w:val="clear" w:color="auto" w:fill="FFFFFF"/>
          <w:lang w:val="en-US" w:eastAsia="zh-CN" w:bidi="ar"/>
        </w:rPr>
        <w:t xml:space="preserve">              </w:t>
      </w:r>
      <w:r>
        <w:rPr>
          <w:rFonts w:hint="eastAsia" w:ascii="方正仿宋_GBK" w:hAnsi="方正仿宋_GBK" w:eastAsia="方正仿宋_GBK" w:cs="方正仿宋_GBK"/>
          <w:bCs/>
          <w:color w:val="333333"/>
          <w:kern w:val="0"/>
          <w:sz w:val="32"/>
          <w:szCs w:val="32"/>
          <w:shd w:val="clear" w:color="auto" w:fill="FFFFFF"/>
          <w:lang w:bidi="ar"/>
        </w:rPr>
        <w:t>（重庆市发展和改革委员会代章）</w:t>
      </w:r>
    </w:p>
    <w:p>
      <w:pPr>
        <w:spacing w:line="240" w:lineRule="auto"/>
        <w:ind w:firstLine="4160" w:firstLineChars="1300"/>
        <w:rPr>
          <w:rFonts w:ascii="方正黑体_GBK" w:eastAsia="方正黑体_GBK"/>
          <w:sz w:val="32"/>
          <w:szCs w:val="32"/>
        </w:rPr>
      </w:pPr>
      <w:r>
        <w:rPr>
          <w:rFonts w:hint="eastAsia" w:ascii="方正仿宋_GBK" w:hAnsi="方正仿宋_GBK" w:eastAsia="方正仿宋_GBK" w:cs="方正仿宋_GBK"/>
          <w:bCs/>
          <w:color w:val="333333"/>
          <w:kern w:val="0"/>
          <w:sz w:val="32"/>
          <w:szCs w:val="32"/>
          <w:shd w:val="clear" w:color="auto" w:fill="FFFFFF"/>
          <w:lang w:bidi="ar"/>
        </w:rPr>
        <w:t>2022年4月</w:t>
      </w:r>
      <w:r>
        <w:rPr>
          <w:rFonts w:hint="eastAsia" w:ascii="方正仿宋_GBK" w:hAnsi="方正仿宋_GBK" w:eastAsia="方正仿宋_GBK" w:cs="方正仿宋_GBK"/>
          <w:bCs/>
          <w:color w:val="333333"/>
          <w:kern w:val="0"/>
          <w:sz w:val="32"/>
          <w:szCs w:val="32"/>
          <w:shd w:val="clear" w:color="auto" w:fill="FFFFFF"/>
          <w:lang w:val="en-US" w:eastAsia="zh-CN" w:bidi="ar"/>
        </w:rPr>
        <w:t>18</w:t>
      </w:r>
      <w:r>
        <w:rPr>
          <w:rFonts w:hint="eastAsia" w:ascii="方正仿宋_GBK" w:hAnsi="方正仿宋_GBK" w:eastAsia="方正仿宋_GBK" w:cs="方正仿宋_GBK"/>
          <w:bCs/>
          <w:color w:val="333333"/>
          <w:kern w:val="0"/>
          <w:sz w:val="32"/>
          <w:szCs w:val="32"/>
          <w:shd w:val="clear" w:color="auto" w:fill="FFFFFF"/>
          <w:lang w:bidi="ar"/>
        </w:rPr>
        <w:t>日</w:t>
      </w:r>
    </w:p>
    <w:sectPr>
      <w:footerReference r:id="rId3" w:type="default"/>
      <w:pgSz w:w="11906" w:h="16838"/>
      <w:pgMar w:top="2098" w:right="1531" w:bottom="1984" w:left="1531" w:header="851" w:footer="1417" w:gutter="0"/>
      <w:cols w:space="0" w:num="1"/>
      <w:titlePg/>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Helvetica Neue">
    <w:altName w:val="Times New Roman"/>
    <w:panose1 w:val="00000000000000000000"/>
    <w:charset w:val="00"/>
    <w:family w:val="auto"/>
    <w:pitch w:val="default"/>
    <w:sig w:usb0="00000000" w:usb1="00000000" w:usb2="00000010" w:usb3="00000000" w:csb0="0000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ladimir Script">
    <w:altName w:val="Mongolian Baiti"/>
    <w:panose1 w:val="03050402040407070305"/>
    <w:charset w:val="00"/>
    <w:family w:val="auto"/>
    <w:pitch w:val="default"/>
    <w:sig w:usb0="00000000" w:usb1="00000000" w:usb2="00000000" w:usb3="00000000" w:csb0="2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altName w:val="Gabriola"/>
    <w:panose1 w:val="04020404030D07020202"/>
    <w:charset w:val="00"/>
    <w:family w:val="auto"/>
    <w:pitch w:val="default"/>
    <w:sig w:usb0="00000000" w:usb1="00000000" w:usb2="00000000" w:usb3="00000000" w:csb0="20000001" w:csb1="00000000"/>
  </w:font>
  <w:font w:name="Calibri Light">
    <w:altName w:val="Calibri"/>
    <w:panose1 w:val="020F0302020204030204"/>
    <w:charset w:val="00"/>
    <w:family w:val="swiss"/>
    <w:pitch w:val="default"/>
    <w:sig w:usb0="00000000" w:usb1="00000000"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大标宋_GBK">
    <w:altName w:val="宋体"/>
    <w:panose1 w:val="03000509000000000000"/>
    <w:charset w:val="86"/>
    <w:family w:val="script"/>
    <w:pitch w:val="default"/>
    <w:sig w:usb0="00000000" w:usb1="00000000" w:usb2="00000010" w:usb3="00000000" w:csb0="00040000" w:csb1="00000000"/>
  </w:font>
  <w:font w:name="Source Han Sans Bold">
    <w:altName w:val="Meiryo"/>
    <w:panose1 w:val="00000000000000000000"/>
    <w:charset w:val="80"/>
    <w:family w:val="swiss"/>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Meiryo">
    <w:panose1 w:val="020B0604030504040204"/>
    <w:charset w:val="80"/>
    <w:family w:val="auto"/>
    <w:pitch w:val="default"/>
    <w:sig w:usb0="E10102FF" w:usb1="EAC7FFFF" w:usb2="00010012" w:usb3="00000000" w:csb0="6002009F" w:csb1="DFD7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w:pict>
        <v:shape id="文本框 2"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v:imagedata o:title=""/>
          <o:lock v:ext="edit" aspectratio="f"/>
          <v:textbox inset="0mm,0mm,0mm,0mm" style="mso-fit-shape-to-text:t;">
            <w:txbxContent>
              <w:p>
                <w:pPr>
                  <w:snapToGrid w:val="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revisionView w:markup="0"/>
  <w:documentProtection w:enforcement="0"/>
  <w:defaultTabStop w:val="420"/>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FB"/>
    <w:rsid w:val="00002675"/>
    <w:rsid w:val="000D1628"/>
    <w:rsid w:val="000E0CEE"/>
    <w:rsid w:val="000E2DF3"/>
    <w:rsid w:val="000E6B02"/>
    <w:rsid w:val="000F4649"/>
    <w:rsid w:val="00121B20"/>
    <w:rsid w:val="00143EDA"/>
    <w:rsid w:val="00177A81"/>
    <w:rsid w:val="001B0D66"/>
    <w:rsid w:val="001B1A61"/>
    <w:rsid w:val="001C1DCF"/>
    <w:rsid w:val="001D2620"/>
    <w:rsid w:val="001E343B"/>
    <w:rsid w:val="00224089"/>
    <w:rsid w:val="002912BF"/>
    <w:rsid w:val="002A37C9"/>
    <w:rsid w:val="002B3400"/>
    <w:rsid w:val="003004A7"/>
    <w:rsid w:val="00340BE3"/>
    <w:rsid w:val="003814A9"/>
    <w:rsid w:val="003851FB"/>
    <w:rsid w:val="003A393B"/>
    <w:rsid w:val="003C2DA1"/>
    <w:rsid w:val="003E203F"/>
    <w:rsid w:val="004079AF"/>
    <w:rsid w:val="00437C19"/>
    <w:rsid w:val="00446E74"/>
    <w:rsid w:val="004529F8"/>
    <w:rsid w:val="00465F59"/>
    <w:rsid w:val="00495663"/>
    <w:rsid w:val="004F44D5"/>
    <w:rsid w:val="0051344F"/>
    <w:rsid w:val="00516DD6"/>
    <w:rsid w:val="00585030"/>
    <w:rsid w:val="005913B5"/>
    <w:rsid w:val="005A5405"/>
    <w:rsid w:val="005D3746"/>
    <w:rsid w:val="005D5A18"/>
    <w:rsid w:val="00642AF6"/>
    <w:rsid w:val="00645652"/>
    <w:rsid w:val="006D6FAA"/>
    <w:rsid w:val="0070493A"/>
    <w:rsid w:val="007C3136"/>
    <w:rsid w:val="007C4FEA"/>
    <w:rsid w:val="008439A6"/>
    <w:rsid w:val="008479AF"/>
    <w:rsid w:val="008642A4"/>
    <w:rsid w:val="008B341D"/>
    <w:rsid w:val="008C0F26"/>
    <w:rsid w:val="008C17EE"/>
    <w:rsid w:val="00915E02"/>
    <w:rsid w:val="00923E64"/>
    <w:rsid w:val="009B55D3"/>
    <w:rsid w:val="009F33E9"/>
    <w:rsid w:val="00A12D49"/>
    <w:rsid w:val="00A309A7"/>
    <w:rsid w:val="00A71D9F"/>
    <w:rsid w:val="00AE3C40"/>
    <w:rsid w:val="00B16378"/>
    <w:rsid w:val="00B43F64"/>
    <w:rsid w:val="00B47A14"/>
    <w:rsid w:val="00B50286"/>
    <w:rsid w:val="00B862D7"/>
    <w:rsid w:val="00B863F7"/>
    <w:rsid w:val="00C13005"/>
    <w:rsid w:val="00C32493"/>
    <w:rsid w:val="00C70AAD"/>
    <w:rsid w:val="00C74B7F"/>
    <w:rsid w:val="00C9457C"/>
    <w:rsid w:val="00C96875"/>
    <w:rsid w:val="00CC347C"/>
    <w:rsid w:val="00CF2EF6"/>
    <w:rsid w:val="00CF7AAC"/>
    <w:rsid w:val="00D11494"/>
    <w:rsid w:val="00D20B65"/>
    <w:rsid w:val="00D66DF0"/>
    <w:rsid w:val="00DE4CFE"/>
    <w:rsid w:val="00DF4128"/>
    <w:rsid w:val="00E15534"/>
    <w:rsid w:val="00E371E5"/>
    <w:rsid w:val="00E73769"/>
    <w:rsid w:val="00EB13C8"/>
    <w:rsid w:val="00F62982"/>
    <w:rsid w:val="00F76692"/>
    <w:rsid w:val="00F92446"/>
    <w:rsid w:val="00FD224E"/>
    <w:rsid w:val="01CD006B"/>
    <w:rsid w:val="0DCB26F7"/>
    <w:rsid w:val="0E11151C"/>
    <w:rsid w:val="100871F8"/>
    <w:rsid w:val="174B3F09"/>
    <w:rsid w:val="1F662267"/>
    <w:rsid w:val="249E28FA"/>
    <w:rsid w:val="2E891924"/>
    <w:rsid w:val="2F2D1D41"/>
    <w:rsid w:val="348E582D"/>
    <w:rsid w:val="349957A7"/>
    <w:rsid w:val="37CB0164"/>
    <w:rsid w:val="3FAB5F40"/>
    <w:rsid w:val="41AB534C"/>
    <w:rsid w:val="48554A40"/>
    <w:rsid w:val="4D00600A"/>
    <w:rsid w:val="4D905CFA"/>
    <w:rsid w:val="57E21D01"/>
    <w:rsid w:val="5FBA6A92"/>
    <w:rsid w:val="7DE66A0A"/>
    <w:rsid w:val="7DFD87E3"/>
    <w:rsid w:val="7E2B3646"/>
    <w:rsid w:val="7F777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jc w:val="left"/>
    </w:pPr>
    <w:rPr>
      <w:rFonts w:ascii="Calibri" w:hAnsi="Calibri"/>
      <w:kern w:val="0"/>
      <w:sz w:val="24"/>
      <w:lang w:bidi="ar"/>
    </w:rPr>
  </w:style>
  <w:style w:type="character" w:styleId="7">
    <w:name w:val="Strong"/>
    <w:basedOn w:val="6"/>
    <w:qFormat/>
    <w:uiPriority w:val="0"/>
    <w:rPr>
      <w:b/>
    </w:rPr>
  </w:style>
  <w:style w:type="character" w:customStyle="1" w:styleId="9">
    <w:name w:val="页脚 Char"/>
    <w:link w:val="3"/>
    <w:uiPriority w:val="99"/>
    <w:rPr>
      <w:kern w:val="2"/>
      <w:sz w:val="18"/>
      <w:szCs w:val="18"/>
    </w:rPr>
  </w:style>
  <w:style w:type="character" w:customStyle="1" w:styleId="10">
    <w:name w:val="页眉 Char"/>
    <w:link w:val="4"/>
    <w:qFormat/>
    <w:uiPriority w:val="0"/>
    <w:rPr>
      <w:kern w:val="2"/>
      <w:sz w:val="18"/>
      <w:szCs w:val="18"/>
    </w:rPr>
  </w:style>
  <w:style w:type="paragraph" w:customStyle="1" w:styleId="11">
    <w:name w:val="Char"/>
    <w:basedOn w:val="1"/>
    <w:qFormat/>
    <w:uiPriority w:val="0"/>
    <w:pPr>
      <w:tabs>
        <w:tab w:val="left" w:pos="432"/>
      </w:tabs>
      <w:ind w:left="432" w:hanging="432"/>
    </w:pPr>
    <w:rPr>
      <w:sz w:val="24"/>
    </w:rPr>
  </w:style>
  <w:style w:type="paragraph" w:customStyle="1" w:styleId="12">
    <w:name w:val="Default"/>
    <w:qFormat/>
    <w:uiPriority w:val="0"/>
    <w:pPr>
      <w:autoSpaceDE w:val="0"/>
      <w:autoSpaceDN w:val="0"/>
      <w:adjustRightInd w:val="0"/>
    </w:pPr>
    <w:rPr>
      <w:rFonts w:ascii="Arial" w:hAnsi="Arial" w:cs="Arial"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45"/>
    <customShpInfo spid="_x0000_s1046"/>
    <customShpInfo spid="_x0000_s1044"/>
    <customShpInfo spid="_x0000_s1048"/>
    <customShpInfo spid="_x0000_s1050"/>
    <customShpInfo spid="_x0000_s1051"/>
    <customShpInfo spid="_x0000_s1049"/>
    <customShpInfo spid="_x0000_s1047"/>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Words>
  <Characters>40</Characters>
  <Lines>1</Lines>
  <Paragraphs>1</Paragraphs>
  <TotalTime>0</TotalTime>
  <ScaleCrop>false</ScaleCrop>
  <LinksUpToDate>false</LinksUpToDate>
  <CharactersWithSpaces>45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2008-09-25T15:08:00Z</dcterms:created>
  <dc:creator>微软用户</dc:creator>
  <cp:lastModifiedBy>张泰然</cp:lastModifiedBy>
  <cp:lastPrinted>2022-04-18T08:11:00Z</cp:lastPrinted>
  <dcterms:modified xsi:type="dcterms:W3CDTF">2022-04-18T09:01:14Z</dcterms:modified>
  <dc:title>重庆市发展和改革委员会</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